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D8C66B" w14:textId="04E9B87C" w:rsidR="009C771A" w:rsidRDefault="009C771A">
      <w:pPr>
        <w:rPr>
          <w:rFonts w:ascii="Calibri" w:hAnsi="Calibri" w:cs="Calibri"/>
          <w:b/>
          <w:bCs/>
          <w:color w:val="001AD5"/>
          <w:sz w:val="28"/>
          <w:szCs w:val="28"/>
          <w:lang w:val="en-GB"/>
        </w:rPr>
      </w:pPr>
      <w:r>
        <w:rPr>
          <w:rFonts w:ascii="Calibri" w:hAnsi="Calibri" w:cs="Calibri"/>
          <w:b/>
          <w:bCs/>
          <w:noProof/>
          <w:color w:val="001AD5"/>
          <w:sz w:val="28"/>
          <w:szCs w:val="28"/>
          <w:lang w:val="en-GB"/>
        </w:rPr>
        <w:drawing>
          <wp:inline distT="0" distB="0" distL="0" distR="0" wp14:anchorId="5CF537E1" wp14:editId="1CDDD2B9">
            <wp:extent cx="2292350" cy="1840865"/>
            <wp:effectExtent l="0" t="0" r="0" b="6985"/>
            <wp:docPr id="566875474" name="Bille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92350" cy="1840865"/>
                    </a:xfrm>
                    <a:prstGeom prst="rect">
                      <a:avLst/>
                    </a:prstGeom>
                    <a:noFill/>
                  </pic:spPr>
                </pic:pic>
              </a:graphicData>
            </a:graphic>
          </wp:inline>
        </w:drawing>
      </w:r>
    </w:p>
    <w:p w14:paraId="10001EEF" w14:textId="2B9A47D6" w:rsidR="00067563" w:rsidRDefault="0070420F">
      <w:r>
        <w:rPr>
          <w:rFonts w:ascii="Calibri" w:hAnsi="Calibri" w:cs="Calibri"/>
          <w:b/>
          <w:bCs/>
          <w:color w:val="001AD5"/>
          <w:sz w:val="28"/>
          <w:szCs w:val="28"/>
          <w:lang w:val="en-GB"/>
        </w:rPr>
        <w:t>IFSW Europe Position Paper on</w:t>
      </w:r>
      <w:r w:rsidR="00CC7BC5">
        <w:rPr>
          <w:rFonts w:ascii="Calibri" w:hAnsi="Calibri" w:cs="Calibri"/>
          <w:b/>
          <w:bCs/>
          <w:color w:val="001AD5"/>
          <w:sz w:val="28"/>
          <w:szCs w:val="28"/>
          <w:lang w:val="en-GB"/>
        </w:rPr>
        <w:t xml:space="preserve"> </w:t>
      </w:r>
    </w:p>
    <w:p w14:paraId="10003DDE" w14:textId="0C697E5D" w:rsidR="00067563" w:rsidRDefault="0070420F">
      <w:pPr>
        <w:spacing w:after="240"/>
      </w:pPr>
      <w:r>
        <w:rPr>
          <w:rFonts w:ascii="Calibri" w:hAnsi="Calibri" w:cs="Calibri"/>
          <w:b/>
          <w:bCs/>
          <w:color w:val="001AD5"/>
          <w:sz w:val="28"/>
          <w:szCs w:val="28"/>
          <w:lang w:val="en-GB"/>
        </w:rPr>
        <w:t>EU Social Package 2026 and MFF 2028–2034</w:t>
      </w:r>
      <w:r>
        <w:rPr>
          <w:rFonts w:ascii="Calibri" w:hAnsi="Calibri" w:cs="Calibri"/>
          <w:b/>
          <w:bCs/>
          <w:color w:val="001AD5"/>
          <w:sz w:val="28"/>
          <w:szCs w:val="28"/>
          <w:lang w:val="en-GB"/>
        </w:rPr>
        <w:tab/>
      </w:r>
      <w:r>
        <w:rPr>
          <w:rFonts w:ascii="Calibri" w:hAnsi="Calibri" w:cs="Calibri"/>
          <w:b/>
          <w:bCs/>
          <w:color w:val="001AD5"/>
          <w:sz w:val="48"/>
          <w:szCs w:val="48"/>
          <w:u w:val="single"/>
          <w:lang w:val="en-GB"/>
        </w:rPr>
        <w:t>DRAFT</w:t>
      </w:r>
      <w:r>
        <w:rPr>
          <w:rFonts w:ascii="Calibri" w:hAnsi="Calibri" w:cs="Calibri"/>
          <w:b/>
          <w:bCs/>
          <w:color w:val="001AD5"/>
          <w:sz w:val="44"/>
          <w:szCs w:val="44"/>
          <w:lang w:val="en-GB"/>
        </w:rPr>
        <w:t xml:space="preserve">    </w:t>
      </w:r>
      <w:r>
        <w:rPr>
          <w:rFonts w:ascii="Calibri" w:hAnsi="Calibri" w:cs="Calibri"/>
          <w:color w:val="001AD5"/>
          <w:sz w:val="36"/>
          <w:szCs w:val="36"/>
          <w:u w:val="single"/>
          <w:lang w:val="en-GB"/>
        </w:rPr>
        <w:t>2</w:t>
      </w:r>
      <w:r w:rsidR="00A967B6">
        <w:rPr>
          <w:rFonts w:ascii="Calibri" w:hAnsi="Calibri" w:cs="Calibri"/>
          <w:color w:val="001AD5"/>
          <w:sz w:val="36"/>
          <w:szCs w:val="36"/>
          <w:u w:val="single"/>
          <w:lang w:val="en-GB"/>
        </w:rPr>
        <w:t>8</w:t>
      </w:r>
      <w:r>
        <w:rPr>
          <w:rFonts w:ascii="Calibri" w:hAnsi="Calibri" w:cs="Calibri"/>
          <w:color w:val="001AD5"/>
          <w:sz w:val="36"/>
          <w:szCs w:val="36"/>
          <w:u w:val="single"/>
          <w:lang w:val="en-GB"/>
        </w:rPr>
        <w:t>.09.26</w:t>
      </w:r>
    </w:p>
    <w:p w14:paraId="10005CCD" w14:textId="77777777" w:rsidR="00067563" w:rsidRDefault="0070420F">
      <w:pPr>
        <w:spacing w:after="200" w:line="259" w:lineRule="auto"/>
      </w:pPr>
      <w:r>
        <w:rPr>
          <w:rFonts w:ascii="Calibri" w:hAnsi="Calibri" w:cs="Calibri"/>
          <w:b/>
          <w:bCs/>
          <w:color w:val="000000"/>
          <w:sz w:val="22"/>
          <w:szCs w:val="22"/>
          <w:lang w:val="en-GB"/>
        </w:rPr>
        <w:t>This draft paper has been prepared by a subgroup of the International Federation of Social Workers Europe (IFSW Europe) with the aim of contributing to the development of an IFSW Europe Position Paper on poverty and social inclusion at EU level.</w:t>
      </w:r>
    </w:p>
    <w:p w14:paraId="10007BBC" w14:textId="77777777" w:rsidR="00067563" w:rsidRDefault="0070420F">
      <w:pPr>
        <w:spacing w:after="200" w:line="259" w:lineRule="auto"/>
      </w:pPr>
      <w:r>
        <w:rPr>
          <w:rFonts w:ascii="Calibri" w:hAnsi="Calibri" w:cs="Calibri"/>
          <w:color w:val="000000"/>
          <w:sz w:val="22"/>
          <w:szCs w:val="22"/>
          <w:lang w:val="en-GB"/>
        </w:rPr>
        <w:t>IFSW Europe comprises social work organisations from 50 European countries and is part of a global organisation that unites social workers around the world based on shared values and ethical principles.</w:t>
      </w:r>
    </w:p>
    <w:p w14:paraId="10009AAB" w14:textId="77777777" w:rsidR="00067563" w:rsidRDefault="0070420F">
      <w:pPr>
        <w:spacing w:after="200" w:line="259" w:lineRule="auto"/>
      </w:pPr>
      <w:r>
        <w:rPr>
          <w:rFonts w:ascii="Calibri" w:hAnsi="Calibri" w:cs="Calibri"/>
          <w:color w:val="000000"/>
          <w:sz w:val="22"/>
          <w:szCs w:val="22"/>
          <w:lang w:val="en-GB"/>
        </w:rPr>
        <w:t xml:space="preserve">Following on from IFSW Europe’s (2025) </w:t>
      </w:r>
      <w:r>
        <w:rPr>
          <w:rFonts w:ascii="Calibri" w:hAnsi="Calibri" w:cs="Calibri"/>
          <w:i/>
          <w:iCs/>
          <w:color w:val="000000"/>
          <w:sz w:val="22"/>
          <w:szCs w:val="22"/>
          <w:lang w:val="en-GB"/>
        </w:rPr>
        <w:t>Report on the eradication of poverty and the development of a European Anti-Poverty Strategy</w:t>
      </w:r>
      <w:r>
        <w:rPr>
          <w:rFonts w:ascii="Calibri" w:hAnsi="Calibri" w:cs="Calibri"/>
          <w:color w:val="000000"/>
          <w:sz w:val="22"/>
          <w:szCs w:val="22"/>
          <w:lang w:val="en-GB"/>
        </w:rPr>
        <w:t>, the purpose of this paper is to comment on the European Union (EU) Social Package 2026 by offering social workers’ perspectives on how poverty and inequality can be reduced – and ultimately eradicated – and social inclusion enhanced, through the right political decisions and by drawing on the knowledge and experience of social workers in close cooperation with people living in poverty. The paper also reviews how social work practice helps to reduce poverty and directly supports people experiencing poverty and social exclusion.</w:t>
      </w:r>
    </w:p>
    <w:p w14:paraId="1000B99A" w14:textId="77777777" w:rsidR="00067563" w:rsidRDefault="0070420F">
      <w:pPr>
        <w:spacing w:before="120" w:after="240"/>
      </w:pPr>
      <w:r>
        <w:rPr>
          <w:rFonts w:ascii="Calibri" w:hAnsi="Calibri" w:cs="Calibri"/>
          <w:color w:val="000000"/>
          <w:sz w:val="22"/>
          <w:szCs w:val="22"/>
          <w:lang w:val="en-GB"/>
        </w:rPr>
        <w:t>______________________________________</w:t>
      </w:r>
    </w:p>
    <w:p w14:paraId="1000D889" w14:textId="77777777" w:rsidR="00067563" w:rsidRDefault="0070420F">
      <w:pPr>
        <w:spacing w:after="200" w:line="259" w:lineRule="auto"/>
      </w:pPr>
      <w:r>
        <w:rPr>
          <w:rFonts w:ascii="Calibri" w:hAnsi="Calibri" w:cs="Calibri"/>
          <w:color w:val="000000"/>
          <w:sz w:val="22"/>
          <w:szCs w:val="22"/>
          <w:lang w:val="en-GB"/>
        </w:rPr>
        <w:t xml:space="preserve">The latest </w:t>
      </w:r>
      <w:r>
        <w:rPr>
          <w:rFonts w:ascii="Calibri" w:hAnsi="Calibri" w:cs="Calibri"/>
          <w:b/>
          <w:bCs/>
          <w:color w:val="000000"/>
          <w:sz w:val="22"/>
          <w:szCs w:val="22"/>
          <w:lang w:val="en-GB"/>
        </w:rPr>
        <w:t>EU Social Package</w:t>
      </w:r>
      <w:r>
        <w:rPr>
          <w:rFonts w:ascii="Calibri" w:hAnsi="Calibri" w:cs="Calibri"/>
          <w:color w:val="000000"/>
          <w:sz w:val="22"/>
          <w:szCs w:val="22"/>
          <w:lang w:val="en-GB"/>
        </w:rPr>
        <w:t xml:space="preserve"> was published on 03.06.2026. It consists of the EU’s most recent plans to fight poverty, create equal opportunities and develop social supports. It places a stronger emphasis on social fairness and cohesion, but in a world of continuing crises, wars, increasing social inequalities and climate change, and under the continuing influence of neoliberal political and economic thinking, the overall aims of the Package remain those of boosting competitiveness and maintaining fiscal sustainability.</w:t>
      </w:r>
    </w:p>
    <w:p w14:paraId="1000F778" w14:textId="77777777" w:rsidR="00067563" w:rsidRDefault="0070420F">
      <w:pPr>
        <w:spacing w:after="200" w:line="259" w:lineRule="auto"/>
      </w:pPr>
      <w:r>
        <w:rPr>
          <w:rFonts w:ascii="Calibri" w:hAnsi="Calibri" w:cs="Calibri"/>
          <w:color w:val="000000"/>
          <w:sz w:val="22"/>
          <w:szCs w:val="22"/>
          <w:lang w:val="en-GB"/>
        </w:rPr>
        <w:t>The Package comprises:</w:t>
      </w:r>
    </w:p>
    <w:p w14:paraId="10011667" w14:textId="77777777" w:rsidR="00067563" w:rsidRDefault="0070420F">
      <w:pPr>
        <w:pStyle w:val="ListParagraph"/>
        <w:numPr>
          <w:ilvl w:val="0"/>
          <w:numId w:val="2"/>
        </w:numPr>
        <w:spacing w:after="40" w:line="259" w:lineRule="auto"/>
      </w:pPr>
      <w:r>
        <w:rPr>
          <w:rFonts w:ascii="Calibri" w:hAnsi="Calibri" w:cs="Calibri"/>
          <w:color w:val="000000"/>
          <w:sz w:val="22"/>
          <w:szCs w:val="22"/>
          <w:lang w:val="en-GB"/>
        </w:rPr>
        <w:t>An Anti-Poverty Strategy</w:t>
      </w:r>
    </w:p>
    <w:p w14:paraId="10013556" w14:textId="77777777" w:rsidR="00067563" w:rsidRDefault="0070420F">
      <w:pPr>
        <w:pStyle w:val="ListParagraph"/>
        <w:numPr>
          <w:ilvl w:val="0"/>
          <w:numId w:val="2"/>
        </w:numPr>
        <w:spacing w:after="40" w:line="259" w:lineRule="auto"/>
      </w:pPr>
      <w:r>
        <w:rPr>
          <w:rFonts w:ascii="Calibri" w:hAnsi="Calibri" w:cs="Calibri"/>
          <w:color w:val="000000"/>
          <w:sz w:val="22"/>
          <w:szCs w:val="22"/>
          <w:lang w:val="en-GB"/>
        </w:rPr>
        <w:t>A European Child Guarantee</w:t>
      </w:r>
    </w:p>
    <w:p w14:paraId="10015445" w14:textId="77777777" w:rsidR="00067563" w:rsidRDefault="0070420F">
      <w:pPr>
        <w:pStyle w:val="ListParagraph"/>
        <w:numPr>
          <w:ilvl w:val="0"/>
          <w:numId w:val="2"/>
        </w:numPr>
        <w:spacing w:after="40" w:line="259" w:lineRule="auto"/>
      </w:pPr>
      <w:r>
        <w:rPr>
          <w:rFonts w:ascii="Calibri" w:hAnsi="Calibri" w:cs="Calibri"/>
          <w:color w:val="000000"/>
          <w:sz w:val="22"/>
          <w:szCs w:val="22"/>
          <w:lang w:val="en-GB"/>
        </w:rPr>
        <w:t>A Disability Strategy</w:t>
      </w:r>
    </w:p>
    <w:p w14:paraId="10017334" w14:textId="77777777" w:rsidR="00067563" w:rsidRDefault="0070420F">
      <w:pPr>
        <w:pStyle w:val="ListParagraph"/>
        <w:numPr>
          <w:ilvl w:val="0"/>
          <w:numId w:val="2"/>
        </w:numPr>
        <w:spacing w:after="200" w:line="259" w:lineRule="auto"/>
      </w:pPr>
      <w:r>
        <w:rPr>
          <w:rFonts w:ascii="Calibri" w:hAnsi="Calibri" w:cs="Calibri"/>
          <w:color w:val="000000"/>
          <w:sz w:val="22"/>
          <w:szCs w:val="22"/>
          <w:lang w:val="en-GB"/>
        </w:rPr>
        <w:t>An Affordable Housing Plan</w:t>
      </w:r>
    </w:p>
    <w:p w14:paraId="10019223" w14:textId="77777777" w:rsidR="00067563" w:rsidRDefault="0070420F">
      <w:pPr>
        <w:spacing w:after="200" w:line="259" w:lineRule="auto"/>
      </w:pPr>
      <w:r>
        <w:rPr>
          <w:rFonts w:ascii="Calibri" w:hAnsi="Calibri" w:cs="Calibri"/>
          <w:color w:val="000000"/>
          <w:sz w:val="22"/>
          <w:szCs w:val="22"/>
          <w:lang w:val="en-GB"/>
        </w:rPr>
        <w:t>These elements are reviewed below in this order. The paper also addresses the European Pillar of Social Rights, as the overarching framework, and the Multiannual Financial Framework (MFF) 2028–2034, which will determine how the Package is funded.</w:t>
      </w:r>
    </w:p>
    <w:p w14:paraId="1001B112" w14:textId="77777777" w:rsidR="00067563" w:rsidRDefault="0070420F">
      <w:pPr>
        <w:spacing w:after="200" w:line="259" w:lineRule="auto"/>
      </w:pPr>
      <w:r>
        <w:rPr>
          <w:rFonts w:ascii="Calibri" w:hAnsi="Calibri" w:cs="Calibri"/>
          <w:b/>
          <w:bCs/>
          <w:color w:val="000000"/>
          <w:sz w:val="22"/>
          <w:szCs w:val="22"/>
          <w:lang w:val="en-GB"/>
        </w:rPr>
        <w:lastRenderedPageBreak/>
        <w:t>NB!</w:t>
      </w:r>
      <w:r>
        <w:rPr>
          <w:rFonts w:ascii="Calibri" w:hAnsi="Calibri" w:cs="Calibri"/>
          <w:color w:val="000000"/>
          <w:sz w:val="22"/>
          <w:szCs w:val="22"/>
          <w:lang w:val="en-GB"/>
        </w:rPr>
        <w:t xml:space="preserve"> The IFSW Europe Working Group on Poverty is primarily concerned with the new EU Social Package because of its underlying aim to alleviate poverty. As its implementation is far from assured, advocacy is required at both EU and Member State level, and IFSW Europe member organisations can play an important role in such activism.</w:t>
      </w:r>
    </w:p>
    <w:p w14:paraId="1001D001" w14:textId="77777777" w:rsidR="00067563" w:rsidRDefault="0070420F">
      <w:pPr>
        <w:keepNext/>
        <w:spacing w:before="120" w:after="100"/>
      </w:pPr>
      <w:r>
        <w:rPr>
          <w:rFonts w:ascii="Calibri" w:hAnsi="Calibri" w:cs="Calibri"/>
          <w:b/>
          <w:bCs/>
          <w:color w:val="C00000"/>
          <w:lang w:val="en-GB"/>
        </w:rPr>
        <w:t>Understanding Poverty</w:t>
      </w:r>
    </w:p>
    <w:p w14:paraId="1001EEF0" w14:textId="77777777" w:rsidR="00067563" w:rsidRDefault="0070420F">
      <w:pPr>
        <w:spacing w:after="200" w:line="259" w:lineRule="auto"/>
      </w:pPr>
      <w:r>
        <w:rPr>
          <w:rFonts w:ascii="Calibri" w:hAnsi="Calibri" w:cs="Calibri"/>
          <w:color w:val="000000"/>
          <w:sz w:val="22"/>
          <w:szCs w:val="22"/>
          <w:lang w:val="en-GB"/>
        </w:rPr>
        <w:t>Poverty is a contested, socially constructed concept (Dean &amp; Platt, 2016:4). People experiencing poverty and social exclusion lack adequate income, resources and access to public and private services that are fundamental to a decent life (EAPN, 2020). Dean and Platt note that Townsend defines poverty in relation to the extent to which people can participate in society (Dean &amp; Platt, 2016:5) – which ultimately defines much of our lives.</w:t>
      </w:r>
    </w:p>
    <w:p w14:paraId="10020DDF" w14:textId="77777777" w:rsidR="00067563" w:rsidRDefault="0070420F">
      <w:pPr>
        <w:spacing w:after="200" w:line="259" w:lineRule="auto"/>
      </w:pPr>
      <w:r>
        <w:rPr>
          <w:rFonts w:ascii="Calibri" w:hAnsi="Calibri" w:cs="Calibri"/>
          <w:color w:val="000000"/>
          <w:sz w:val="22"/>
          <w:szCs w:val="22"/>
          <w:lang w:val="en-GB"/>
        </w:rPr>
        <w:t>ATD Fourth World (ATD) research with the University of Oxford goes further in describing poverty and its impact on people’s lives. Aside from lack of income, resources and services, suffering in body, mind and heart, struggling to survive, and disempowerment are among nine, often hidden, dimensions uncovered by the research (Bray et al., 2019). Together, these give rise to what ATD defines as ‘precariousness’ – a situation of generalised insecurity.</w:t>
      </w:r>
    </w:p>
    <w:p w14:paraId="10022CCE" w14:textId="77777777" w:rsidR="00067563" w:rsidRDefault="0070420F">
      <w:pPr>
        <w:spacing w:after="200" w:line="259" w:lineRule="auto"/>
      </w:pPr>
      <w:r>
        <w:rPr>
          <w:rFonts w:ascii="Calibri" w:hAnsi="Calibri" w:cs="Calibri"/>
          <w:color w:val="000000"/>
          <w:sz w:val="22"/>
          <w:szCs w:val="22"/>
          <w:lang w:val="en-GB"/>
        </w:rPr>
        <w:t>Poverty is therefore a social, structural and multidimensional problem that includes education, health, housing, childcare, social exclusion and lack of participation in society.</w:t>
      </w:r>
    </w:p>
    <w:p w14:paraId="10024BBD" w14:textId="77777777" w:rsidR="00067563" w:rsidRDefault="0070420F">
      <w:pPr>
        <w:keepNext/>
        <w:spacing w:before="160" w:after="100"/>
      </w:pPr>
      <w:r>
        <w:rPr>
          <w:rFonts w:ascii="Calibri" w:hAnsi="Calibri" w:cs="Calibri"/>
          <w:b/>
          <w:bCs/>
          <w:color w:val="001FD5"/>
          <w:sz w:val="22"/>
          <w:szCs w:val="22"/>
          <w:lang w:val="en-GB"/>
        </w:rPr>
        <w:t>IFSW Europe’s position…</w:t>
      </w:r>
    </w:p>
    <w:p w14:paraId="10026AAC" w14:textId="77777777" w:rsidR="00067563" w:rsidRDefault="0070420F">
      <w:pPr>
        <w:spacing w:after="200" w:line="259" w:lineRule="auto"/>
      </w:pPr>
      <w:r>
        <w:rPr>
          <w:rFonts w:ascii="Calibri" w:hAnsi="Calibri" w:cs="Calibri"/>
          <w:color w:val="000000"/>
          <w:sz w:val="22"/>
          <w:szCs w:val="22"/>
          <w:lang w:val="en-GB"/>
        </w:rPr>
        <w:t xml:space="preserve">Poverty in all of its manifestations is fundamentally a denial of basic human rights. It is patently not the result of individual failure, as many governments have disingenuously claimed in a form of what </w:t>
      </w:r>
      <w:proofErr w:type="spellStart"/>
      <w:r>
        <w:rPr>
          <w:rFonts w:ascii="Calibri" w:hAnsi="Calibri" w:cs="Calibri"/>
          <w:color w:val="000000"/>
          <w:sz w:val="22"/>
          <w:szCs w:val="22"/>
          <w:lang w:val="en-GB"/>
        </w:rPr>
        <w:t>Shildrick</w:t>
      </w:r>
      <w:proofErr w:type="spellEnd"/>
      <w:r>
        <w:rPr>
          <w:rFonts w:ascii="Calibri" w:hAnsi="Calibri" w:cs="Calibri"/>
          <w:color w:val="000000"/>
          <w:sz w:val="22"/>
          <w:szCs w:val="22"/>
          <w:lang w:val="en-GB"/>
        </w:rPr>
        <w:t xml:space="preserve"> (2018) calls ‘poverty propaganda’. Such ‘propaganda’ deliberately and misleadingly shifts the blame for poverty away from the real culprit: political choices rooted in deep-seated structural causes. Increasingly, this propaganda holds sway across much of public opinion in Europe, which in turn has led to poverty not being seen for the crisis that it is. Poverty, driven by inequality, has ruined lives and, as Thomas Piketty (2014) has clearly demonstrated, society as a whole has suffered from growing inequality across Europe and elsewhere.</w:t>
      </w:r>
    </w:p>
    <w:p w14:paraId="1002899B" w14:textId="77777777" w:rsidR="00067563" w:rsidRDefault="0070420F">
      <w:pPr>
        <w:spacing w:after="200" w:line="259" w:lineRule="auto"/>
      </w:pPr>
      <w:r>
        <w:rPr>
          <w:rFonts w:ascii="Calibri" w:hAnsi="Calibri" w:cs="Calibri"/>
          <w:color w:val="000000"/>
          <w:sz w:val="22"/>
          <w:szCs w:val="22"/>
          <w:lang w:val="en-GB"/>
        </w:rPr>
        <w:t>Poverty is a ‘man-made’ structural problem, driven by the pursuit of wealth and power and the relentless drive for so-called economic development. What is man-made can be undone: poverty can be eliminated.</w:t>
      </w:r>
    </w:p>
    <w:p w14:paraId="1002A88A" w14:textId="77777777" w:rsidR="00067563" w:rsidRDefault="0070420F">
      <w:pPr>
        <w:spacing w:after="200" w:line="259" w:lineRule="auto"/>
      </w:pPr>
      <w:r>
        <w:rPr>
          <w:rFonts w:ascii="Calibri" w:hAnsi="Calibri" w:cs="Calibri"/>
          <w:color w:val="000000"/>
          <w:sz w:val="22"/>
          <w:szCs w:val="22"/>
          <w:lang w:val="en-GB"/>
        </w:rPr>
        <w:t>From the experience of social workers working with people struggling with poverty, it is clear that a comprehensive understanding of poverty goes far beyond financial need – it encompasses the broader context of a person’s life, including social, psychological, cultural and environmental factors and power relationships. This perspective emphasises working to empower people through advocacy and tailored support that responds both to their immediate needs and to the structural conditions that perpetuate their poverty.</w:t>
      </w:r>
    </w:p>
    <w:p w14:paraId="1002C779" w14:textId="77777777" w:rsidR="00067563" w:rsidRDefault="0070420F">
      <w:pPr>
        <w:spacing w:before="120" w:after="240"/>
      </w:pPr>
      <w:r>
        <w:rPr>
          <w:rFonts w:ascii="Calibri" w:hAnsi="Calibri" w:cs="Calibri"/>
          <w:color w:val="000000"/>
          <w:sz w:val="22"/>
          <w:szCs w:val="22"/>
          <w:lang w:val="en-GB"/>
        </w:rPr>
        <w:t>______________________________________</w:t>
      </w:r>
    </w:p>
    <w:p w14:paraId="1002E668" w14:textId="77777777" w:rsidR="00067563" w:rsidRDefault="0070420F">
      <w:pPr>
        <w:keepNext/>
        <w:spacing w:before="120" w:after="100"/>
      </w:pPr>
      <w:r>
        <w:rPr>
          <w:rFonts w:ascii="Calibri" w:hAnsi="Calibri" w:cs="Calibri"/>
          <w:b/>
          <w:bCs/>
          <w:color w:val="C00000"/>
          <w:lang w:val="en-GB"/>
        </w:rPr>
        <w:t>The Framework: European Pillar of Social Rights (EPSR) and the Porto Targets</w:t>
      </w:r>
    </w:p>
    <w:p w14:paraId="10030557" w14:textId="77777777" w:rsidR="00067563" w:rsidRDefault="0070420F">
      <w:pPr>
        <w:spacing w:after="200" w:line="259" w:lineRule="auto"/>
      </w:pPr>
      <w:r>
        <w:rPr>
          <w:rFonts w:ascii="Calibri" w:hAnsi="Calibri" w:cs="Calibri"/>
          <w:color w:val="000000"/>
          <w:sz w:val="22"/>
          <w:szCs w:val="22"/>
          <w:lang w:val="en-GB"/>
        </w:rPr>
        <w:t xml:space="preserve">The European Pillar of Social Rights (EPSR) is a framework of 20 key principles and rights aimed at creating a fairer Europe in the areas of labour markets and welfare systems. Initiated by the European Commission and formally proclaimed in November 2017 in Gothenburg by the European Parliament, the Commission and the Council, the EPSR is structured around three chapters: equal </w:t>
      </w:r>
      <w:r>
        <w:rPr>
          <w:rFonts w:ascii="Calibri" w:hAnsi="Calibri" w:cs="Calibri"/>
          <w:color w:val="000000"/>
          <w:sz w:val="22"/>
          <w:szCs w:val="22"/>
          <w:lang w:val="en-GB"/>
        </w:rPr>
        <w:lastRenderedPageBreak/>
        <w:t xml:space="preserve">opportunities and access to the labour market, fair working conditions, and social protection and inclusion. Its aim is to place a greater emphasis on the ‘social’ in EU policy development, and it is currently the benchmark for social protection, social rights, social inclusion and decent working conditions. It is, however, non-binding on EU Member States. The EPSR was nevertheless a driver of the </w:t>
      </w:r>
      <w:r>
        <w:rPr>
          <w:rFonts w:ascii="Calibri" w:hAnsi="Calibri" w:cs="Calibri"/>
          <w:i/>
          <w:iCs/>
          <w:color w:val="000000"/>
          <w:sz w:val="22"/>
          <w:szCs w:val="22"/>
          <w:lang w:val="en-GB"/>
        </w:rPr>
        <w:t>Adequate Minimum Wages Directive</w:t>
      </w:r>
      <w:r>
        <w:rPr>
          <w:rFonts w:ascii="Calibri" w:hAnsi="Calibri" w:cs="Calibri"/>
          <w:color w:val="000000"/>
          <w:sz w:val="22"/>
          <w:szCs w:val="22"/>
          <w:lang w:val="en-GB"/>
        </w:rPr>
        <w:t xml:space="preserve"> (2022) and the </w:t>
      </w:r>
      <w:r>
        <w:rPr>
          <w:rFonts w:ascii="Calibri" w:hAnsi="Calibri" w:cs="Calibri"/>
          <w:i/>
          <w:iCs/>
          <w:color w:val="000000"/>
          <w:sz w:val="22"/>
          <w:szCs w:val="22"/>
          <w:lang w:val="en-GB"/>
        </w:rPr>
        <w:t>European Care Strategy</w:t>
      </w:r>
      <w:r>
        <w:rPr>
          <w:rFonts w:ascii="Calibri" w:hAnsi="Calibri" w:cs="Calibri"/>
          <w:color w:val="000000"/>
          <w:sz w:val="22"/>
          <w:szCs w:val="22"/>
          <w:lang w:val="en-GB"/>
        </w:rPr>
        <w:t>.</w:t>
      </w:r>
    </w:p>
    <w:p w14:paraId="10032446" w14:textId="77777777" w:rsidR="00067563" w:rsidRDefault="0070420F">
      <w:pPr>
        <w:spacing w:after="200" w:line="259" w:lineRule="auto"/>
      </w:pPr>
      <w:r>
        <w:rPr>
          <w:rFonts w:ascii="Calibri" w:hAnsi="Calibri" w:cs="Calibri"/>
          <w:color w:val="000000"/>
          <w:sz w:val="22"/>
          <w:szCs w:val="22"/>
          <w:lang w:val="en-GB"/>
        </w:rPr>
        <w:t>At the 2021 Porto Social Summit, the EU and Member States set, for the first time, three EU headline targets to be reached by 2030:</w:t>
      </w:r>
    </w:p>
    <w:p w14:paraId="10034335" w14:textId="77777777" w:rsidR="00067563" w:rsidRDefault="0070420F">
      <w:pPr>
        <w:pStyle w:val="ListParagraph"/>
        <w:numPr>
          <w:ilvl w:val="0"/>
          <w:numId w:val="1"/>
        </w:numPr>
        <w:spacing w:after="40" w:line="259" w:lineRule="auto"/>
      </w:pPr>
      <w:r>
        <w:rPr>
          <w:rFonts w:ascii="Calibri" w:hAnsi="Calibri" w:cs="Calibri"/>
          <w:color w:val="000000"/>
          <w:sz w:val="22"/>
          <w:szCs w:val="22"/>
          <w:lang w:val="en-GB"/>
        </w:rPr>
        <w:t>an employment rate of at least 78% for people aged 20 to 64;</w:t>
      </w:r>
    </w:p>
    <w:p w14:paraId="10036224" w14:textId="77777777" w:rsidR="00067563" w:rsidRDefault="0070420F">
      <w:pPr>
        <w:pStyle w:val="ListParagraph"/>
        <w:numPr>
          <w:ilvl w:val="0"/>
          <w:numId w:val="1"/>
        </w:numPr>
        <w:spacing w:after="40" w:line="259" w:lineRule="auto"/>
      </w:pPr>
      <w:r>
        <w:rPr>
          <w:rFonts w:ascii="Calibri" w:hAnsi="Calibri" w:cs="Calibri"/>
          <w:color w:val="000000"/>
          <w:sz w:val="22"/>
          <w:szCs w:val="22"/>
          <w:lang w:val="en-GB"/>
        </w:rPr>
        <w:t>at least 60% of adults participating in training every year;</w:t>
      </w:r>
    </w:p>
    <w:p w14:paraId="10038113" w14:textId="77777777" w:rsidR="00067563" w:rsidRDefault="0070420F">
      <w:pPr>
        <w:pStyle w:val="ListParagraph"/>
        <w:numPr>
          <w:ilvl w:val="0"/>
          <w:numId w:val="1"/>
        </w:numPr>
        <w:spacing w:after="200" w:line="259" w:lineRule="auto"/>
      </w:pPr>
      <w:r>
        <w:rPr>
          <w:rFonts w:ascii="Calibri" w:hAnsi="Calibri" w:cs="Calibri"/>
          <w:color w:val="000000"/>
          <w:sz w:val="22"/>
          <w:szCs w:val="22"/>
          <w:lang w:val="en-GB"/>
        </w:rPr>
        <w:t>a reduction in the number of people at risk of poverty or social exclusion by at least 15 million, including at least 5 million children, compared to 2019.</w:t>
      </w:r>
    </w:p>
    <w:p w14:paraId="1003A002" w14:textId="77777777" w:rsidR="00067563" w:rsidRDefault="0070420F">
      <w:pPr>
        <w:spacing w:after="200" w:line="259" w:lineRule="auto"/>
      </w:pPr>
      <w:r>
        <w:rPr>
          <w:rFonts w:ascii="Calibri" w:hAnsi="Calibri" w:cs="Calibri"/>
          <w:color w:val="000000"/>
          <w:sz w:val="22"/>
          <w:szCs w:val="22"/>
          <w:lang w:val="en-GB"/>
        </w:rPr>
        <w:t xml:space="preserve">Member States defined their own </w:t>
      </w:r>
      <w:r>
        <w:rPr>
          <w:rFonts w:ascii="Calibri" w:hAnsi="Calibri" w:cs="Calibri"/>
          <w:b/>
          <w:bCs/>
          <w:color w:val="000000"/>
          <w:sz w:val="22"/>
          <w:szCs w:val="22"/>
          <w:lang w:val="en-GB"/>
        </w:rPr>
        <w:t>national targets</w:t>
      </w:r>
      <w:r>
        <w:rPr>
          <w:rFonts w:ascii="Calibri" w:hAnsi="Calibri" w:cs="Calibri"/>
          <w:color w:val="000000"/>
          <w:sz w:val="22"/>
          <w:szCs w:val="22"/>
          <w:lang w:val="en-GB"/>
        </w:rPr>
        <w:t xml:space="preserve"> to contribute to this shared endeavour, and the EU monitors progress within the European Semester, its framework for coordinating economic and employment policies.</w:t>
      </w:r>
    </w:p>
    <w:p w14:paraId="1003BEF1" w14:textId="77777777" w:rsidR="00067563" w:rsidRDefault="0070420F">
      <w:pPr>
        <w:spacing w:after="200" w:line="259" w:lineRule="auto"/>
      </w:pPr>
      <w:r>
        <w:rPr>
          <w:rFonts w:ascii="Calibri" w:hAnsi="Calibri" w:cs="Calibri"/>
          <w:color w:val="000000"/>
          <w:sz w:val="22"/>
          <w:szCs w:val="22"/>
          <w:lang w:val="en-GB"/>
        </w:rPr>
        <w:t>Progress on the poverty target is far from sufficient. In 2025, 92.7 million people (20.9% of the EU population) were at risk of poverty or social exclusion, including 19 million children (Eurostat, 2026; European Union, 2025). Inequality also remains a significant problem in several Member States, and there are significant disparities among regions within the EU. According to the Joint Employment Report 2026, the Porto poverty target is therefore unlikely to be met (EU Employment, Social Affairs and Inclusion, 2026:4).</w:t>
      </w:r>
    </w:p>
    <w:p w14:paraId="1003DDE0" w14:textId="77777777" w:rsidR="00067563" w:rsidRDefault="0070420F">
      <w:pPr>
        <w:spacing w:after="200" w:line="259" w:lineRule="auto"/>
      </w:pPr>
      <w:r>
        <w:rPr>
          <w:rFonts w:ascii="Calibri" w:hAnsi="Calibri" w:cs="Calibri"/>
          <w:color w:val="000000"/>
          <w:sz w:val="22"/>
          <w:szCs w:val="22"/>
          <w:lang w:val="en-GB"/>
        </w:rPr>
        <w:t>The EPSR completed its first Action Plan period in 2024 and is now in its second phase. In its latest Communication, the European Commission reaffirms the EPSR as the EU’s social framework and guiding compass for fairness in a rapidly changing Europe. The Communication reviews progress in strengthening social rights and identifies three priority areas for further action.</w:t>
      </w:r>
    </w:p>
    <w:p w14:paraId="1003FCCF" w14:textId="77777777" w:rsidR="00067563" w:rsidRDefault="0070420F">
      <w:pPr>
        <w:spacing w:after="200" w:line="259" w:lineRule="auto"/>
      </w:pPr>
      <w:r>
        <w:rPr>
          <w:rFonts w:ascii="Calibri" w:hAnsi="Calibri" w:cs="Calibri"/>
          <w:color w:val="000000"/>
          <w:sz w:val="22"/>
          <w:szCs w:val="22"/>
          <w:lang w:val="en-GB"/>
        </w:rPr>
        <w:t>First, the Commission focuses on affordability and the cost of living, recognising continued pressures from housing, energy, essential services and basic necessities. It highlights the importance of quality jobs, adequate minimum wages and improved access to employment for people facing significant barriers to the labour market as tools to reduce poverty and social exclusion.</w:t>
      </w:r>
    </w:p>
    <w:p w14:paraId="10041BBE" w14:textId="77777777" w:rsidR="00067563" w:rsidRDefault="0070420F">
      <w:pPr>
        <w:spacing w:after="200" w:line="259" w:lineRule="auto"/>
      </w:pPr>
      <w:r>
        <w:rPr>
          <w:rFonts w:ascii="Calibri" w:hAnsi="Calibri" w:cs="Calibri"/>
          <w:color w:val="000000"/>
          <w:sz w:val="22"/>
          <w:szCs w:val="22"/>
          <w:lang w:val="en-GB"/>
        </w:rPr>
        <w:t>Second, the Commission addresses artificial intelligence and the future of work. AI offers opportunities for innovation, productivity, skills development and growth, but also raises concerns about employment, education, social inclusion and public services. A new high-level expert group will examine AI’s impact on the labour market.</w:t>
      </w:r>
    </w:p>
    <w:p w14:paraId="10043AAD" w14:textId="77777777" w:rsidR="00067563" w:rsidRDefault="0070420F">
      <w:pPr>
        <w:spacing w:after="200" w:line="259" w:lineRule="auto"/>
      </w:pPr>
      <w:r>
        <w:rPr>
          <w:rFonts w:ascii="Calibri" w:hAnsi="Calibri" w:cs="Calibri"/>
          <w:color w:val="000000"/>
          <w:sz w:val="22"/>
          <w:szCs w:val="22"/>
          <w:lang w:val="en-GB"/>
        </w:rPr>
        <w:t>Third, the Commission emphasises reducing inequalities and promoting equal opportunities. Persistent inequalities across different areas of life continue to threaten social and territorial cohesion. Proposed measures include stronger support for pay transparency, initiatives addressing workers’ rights and a new EU Youth Strategy.</w:t>
      </w:r>
    </w:p>
    <w:p w14:paraId="1004599C" w14:textId="77777777" w:rsidR="00067563" w:rsidRDefault="0070420F">
      <w:pPr>
        <w:keepNext/>
        <w:spacing w:before="160" w:after="100"/>
      </w:pPr>
      <w:r>
        <w:rPr>
          <w:rFonts w:ascii="Calibri" w:hAnsi="Calibri" w:cs="Calibri"/>
          <w:b/>
          <w:bCs/>
          <w:color w:val="001FD5"/>
          <w:sz w:val="22"/>
          <w:szCs w:val="22"/>
          <w:lang w:val="en-GB"/>
        </w:rPr>
        <w:t>IFSW Europe’s position/recommendations…</w:t>
      </w:r>
    </w:p>
    <w:p w14:paraId="1004788B" w14:textId="77777777" w:rsidR="00067563" w:rsidRDefault="0070420F">
      <w:pPr>
        <w:spacing w:after="200" w:line="259" w:lineRule="auto"/>
      </w:pPr>
      <w:r>
        <w:rPr>
          <w:rFonts w:ascii="Calibri" w:hAnsi="Calibri" w:cs="Calibri"/>
          <w:color w:val="000000"/>
          <w:sz w:val="22"/>
          <w:szCs w:val="22"/>
          <w:lang w:val="en-GB"/>
        </w:rPr>
        <w:t xml:space="preserve">Poverty remains a stagnant, shameful blot on the EU, despite the formal pronouncements of the European Pillar of Social Rights, the </w:t>
      </w:r>
      <w:r>
        <w:rPr>
          <w:rFonts w:ascii="Calibri" w:hAnsi="Calibri" w:cs="Calibri"/>
          <w:i/>
          <w:iCs/>
          <w:color w:val="000000"/>
          <w:sz w:val="22"/>
          <w:szCs w:val="22"/>
          <w:lang w:val="en-GB"/>
        </w:rPr>
        <w:t>Sustainable Development Goals</w:t>
      </w:r>
      <w:r>
        <w:rPr>
          <w:rFonts w:ascii="Calibri" w:hAnsi="Calibri" w:cs="Calibri"/>
          <w:color w:val="000000"/>
          <w:sz w:val="22"/>
          <w:szCs w:val="22"/>
          <w:lang w:val="en-GB"/>
        </w:rPr>
        <w:t xml:space="preserve"> and other policies. The non-binding nature of the EPSR has diluted its effectiveness from the outset, and much still needs to be done in relation to access to social services, affordable housing, childcare and long-term care. The </w:t>
      </w:r>
      <w:r>
        <w:rPr>
          <w:rFonts w:ascii="Calibri" w:hAnsi="Calibri" w:cs="Calibri"/>
          <w:color w:val="000000"/>
          <w:sz w:val="22"/>
          <w:szCs w:val="22"/>
          <w:lang w:val="en-GB"/>
        </w:rPr>
        <w:lastRenderedPageBreak/>
        <w:t>elements of the Social Package reviewed below will be judged by whether they finally turn these commitments into results.</w:t>
      </w:r>
    </w:p>
    <w:p w14:paraId="1004977A" w14:textId="77777777" w:rsidR="00067563" w:rsidRDefault="0070420F">
      <w:pPr>
        <w:spacing w:before="120" w:after="240"/>
      </w:pPr>
      <w:r>
        <w:rPr>
          <w:rFonts w:ascii="Calibri" w:hAnsi="Calibri" w:cs="Calibri"/>
          <w:color w:val="000000"/>
          <w:sz w:val="22"/>
          <w:szCs w:val="22"/>
          <w:lang w:val="en-GB"/>
        </w:rPr>
        <w:t>______________________________________</w:t>
      </w:r>
    </w:p>
    <w:p w14:paraId="1004B669" w14:textId="77777777" w:rsidR="00067563" w:rsidRDefault="0070420F">
      <w:pPr>
        <w:keepNext/>
        <w:spacing w:before="120" w:after="100"/>
      </w:pPr>
      <w:r>
        <w:rPr>
          <w:rFonts w:ascii="Calibri" w:hAnsi="Calibri" w:cs="Calibri"/>
          <w:b/>
          <w:bCs/>
          <w:color w:val="C00000"/>
          <w:lang w:val="en-GB"/>
        </w:rPr>
        <w:t>An Anti-Poverty Strategy</w:t>
      </w:r>
    </w:p>
    <w:p w14:paraId="1004D558" w14:textId="77777777" w:rsidR="00067563" w:rsidRDefault="0070420F">
      <w:pPr>
        <w:spacing w:after="200" w:line="259" w:lineRule="auto"/>
      </w:pPr>
      <w:r>
        <w:rPr>
          <w:rFonts w:ascii="Calibri" w:hAnsi="Calibri" w:cs="Calibri"/>
          <w:color w:val="000000"/>
          <w:sz w:val="22"/>
          <w:szCs w:val="22"/>
          <w:lang w:val="en-GB"/>
        </w:rPr>
        <w:t xml:space="preserve">The first and long-awaited EU Anti-Poverty Strategy (APS) has to be welcomed. It moves towards a more coherent and rights-based approach to fighting and eliminating </w:t>
      </w:r>
      <w:proofErr w:type="gramStart"/>
      <w:r>
        <w:rPr>
          <w:rFonts w:ascii="Calibri" w:hAnsi="Calibri" w:cs="Calibri"/>
          <w:color w:val="000000"/>
          <w:sz w:val="22"/>
          <w:szCs w:val="22"/>
          <w:lang w:val="en-GB"/>
        </w:rPr>
        <w:t>poverty, and</w:t>
      </w:r>
      <w:proofErr w:type="gramEnd"/>
      <w:r>
        <w:rPr>
          <w:rFonts w:ascii="Calibri" w:hAnsi="Calibri" w:cs="Calibri"/>
          <w:color w:val="000000"/>
          <w:sz w:val="22"/>
          <w:szCs w:val="22"/>
          <w:lang w:val="en-GB"/>
        </w:rPr>
        <w:t xml:space="preserve"> should inform and contribute to the implementation of the EPSR and to meeting the Porto target.</w:t>
      </w:r>
    </w:p>
    <w:p w14:paraId="1004F447" w14:textId="77777777" w:rsidR="00067563" w:rsidRDefault="0070420F">
      <w:pPr>
        <w:spacing w:after="200" w:line="259" w:lineRule="auto"/>
      </w:pPr>
      <w:r>
        <w:rPr>
          <w:rFonts w:ascii="Calibri" w:hAnsi="Calibri" w:cs="Calibri"/>
          <w:color w:val="000000"/>
          <w:sz w:val="22"/>
          <w:szCs w:val="22"/>
          <w:lang w:val="en-GB"/>
        </w:rPr>
        <w:t>Through a commitment to eradicating poverty, the APS aims to break the cycle of poverty, including in-work poverty, strengthen the Child Guarantee, improve the rights of people with disabilities, fight housing exclusion and build a more inclusive Europe. The Strategy is built around three themes:</w:t>
      </w:r>
    </w:p>
    <w:p w14:paraId="10051336" w14:textId="77777777" w:rsidR="00067563" w:rsidRDefault="0070420F">
      <w:pPr>
        <w:pStyle w:val="ListParagraph"/>
        <w:numPr>
          <w:ilvl w:val="0"/>
          <w:numId w:val="1"/>
        </w:numPr>
        <w:spacing w:after="40" w:line="259" w:lineRule="auto"/>
      </w:pPr>
      <w:r>
        <w:rPr>
          <w:rFonts w:ascii="Calibri" w:hAnsi="Calibri" w:cs="Calibri"/>
          <w:color w:val="000000"/>
          <w:sz w:val="22"/>
          <w:szCs w:val="22"/>
          <w:lang w:val="en-GB"/>
        </w:rPr>
        <w:t>Access to Essential Services</w:t>
      </w:r>
    </w:p>
    <w:p w14:paraId="10053225" w14:textId="77777777" w:rsidR="00067563" w:rsidRDefault="0070420F">
      <w:pPr>
        <w:pStyle w:val="ListParagraph"/>
        <w:numPr>
          <w:ilvl w:val="0"/>
          <w:numId w:val="1"/>
        </w:numPr>
        <w:spacing w:after="40" w:line="259" w:lineRule="auto"/>
      </w:pPr>
      <w:r>
        <w:rPr>
          <w:rFonts w:ascii="Calibri" w:hAnsi="Calibri" w:cs="Calibri"/>
          <w:color w:val="000000"/>
          <w:sz w:val="22"/>
          <w:szCs w:val="22"/>
          <w:lang w:val="en-GB"/>
        </w:rPr>
        <w:t>Access to Quality Employment</w:t>
      </w:r>
    </w:p>
    <w:p w14:paraId="10055114" w14:textId="77777777" w:rsidR="00067563" w:rsidRDefault="0070420F">
      <w:pPr>
        <w:pStyle w:val="ListParagraph"/>
        <w:numPr>
          <w:ilvl w:val="0"/>
          <w:numId w:val="1"/>
        </w:numPr>
        <w:spacing w:after="200" w:line="259" w:lineRule="auto"/>
      </w:pPr>
      <w:r>
        <w:rPr>
          <w:rFonts w:ascii="Calibri" w:hAnsi="Calibri" w:cs="Calibri"/>
          <w:color w:val="000000"/>
          <w:sz w:val="22"/>
          <w:szCs w:val="22"/>
          <w:lang w:val="en-GB"/>
        </w:rPr>
        <w:t>Adequate Income and Social Protection</w:t>
      </w:r>
    </w:p>
    <w:p w14:paraId="10057003" w14:textId="77777777" w:rsidR="00067563" w:rsidRDefault="0070420F">
      <w:pPr>
        <w:spacing w:after="200" w:line="259" w:lineRule="auto"/>
      </w:pPr>
      <w:r>
        <w:rPr>
          <w:rFonts w:ascii="Calibri" w:hAnsi="Calibri" w:cs="Calibri"/>
          <w:color w:val="000000"/>
          <w:sz w:val="22"/>
          <w:szCs w:val="22"/>
          <w:lang w:val="en-GB"/>
        </w:rPr>
        <w:t>To achieve these results, the European Commission must allocate sufficient resources and define clear, concrete actions at EU, national and local levels. However, there is serious concern about the lack of firm commitment to clear, binding targets and strategies, both at the Commission and at national level. This concern is compounded by a new emphasis on increased European-wide spending on defence and a heavy focus on economic competitiveness as the answer (see MFF below).</w:t>
      </w:r>
    </w:p>
    <w:p w14:paraId="10058EF2" w14:textId="77777777" w:rsidR="00067563" w:rsidRDefault="0070420F">
      <w:pPr>
        <w:spacing w:after="200" w:line="259" w:lineRule="auto"/>
      </w:pPr>
      <w:r>
        <w:rPr>
          <w:rFonts w:ascii="Calibri" w:hAnsi="Calibri" w:cs="Calibri"/>
          <w:color w:val="000000"/>
          <w:sz w:val="22"/>
          <w:szCs w:val="22"/>
          <w:lang w:val="en-GB"/>
        </w:rPr>
        <w:t>The Strategy also fails to address inadequate social protection systems, particularly in light of the increasing cost-of-living crises across Europe.</w:t>
      </w:r>
    </w:p>
    <w:p w14:paraId="1005ADE1" w14:textId="77777777" w:rsidR="00067563" w:rsidRDefault="0070420F">
      <w:pPr>
        <w:spacing w:after="200" w:line="259" w:lineRule="auto"/>
      </w:pPr>
      <w:r>
        <w:rPr>
          <w:rFonts w:ascii="Calibri" w:hAnsi="Calibri" w:cs="Calibri"/>
          <w:color w:val="000000"/>
          <w:sz w:val="22"/>
          <w:szCs w:val="22"/>
          <w:lang w:val="en-GB"/>
        </w:rPr>
        <w:t>The inequalities generated and then exacerbated by political and economic events in recent years across European Member States pose increasing dangers for democratic societies in Europe. The rise of populist political parties and groups is a potent symbol of this development.</w:t>
      </w:r>
    </w:p>
    <w:p w14:paraId="1005CCD0" w14:textId="77777777" w:rsidR="00067563" w:rsidRDefault="0070420F">
      <w:pPr>
        <w:spacing w:after="200" w:line="259" w:lineRule="auto"/>
      </w:pPr>
      <w:r>
        <w:rPr>
          <w:rFonts w:ascii="Calibri" w:hAnsi="Calibri" w:cs="Calibri"/>
          <w:color w:val="C00000"/>
          <w:sz w:val="22"/>
          <w:szCs w:val="22"/>
          <w:lang w:val="en-GB"/>
        </w:rPr>
        <w:t>Employment and Poverty:</w:t>
      </w:r>
      <w:r>
        <w:rPr>
          <w:rFonts w:ascii="Calibri" w:hAnsi="Calibri" w:cs="Calibri"/>
          <w:color w:val="000000"/>
          <w:sz w:val="22"/>
          <w:szCs w:val="22"/>
          <w:lang w:val="en-GB"/>
        </w:rPr>
        <w:t xml:space="preserve"> Despite having steady employment, many families may not be able to sustain themselves financially, leading to in-work poverty. Factors contributing to in-work poverty include low pay, household characteristics, quality of employment (entry-level jobs, part-time work, minimum-wage work), gender and other individual characteristics (</w:t>
      </w:r>
      <w:proofErr w:type="spellStart"/>
      <w:r>
        <w:rPr>
          <w:rFonts w:ascii="Calibri" w:hAnsi="Calibri" w:cs="Calibri"/>
          <w:color w:val="000000"/>
          <w:sz w:val="22"/>
          <w:szCs w:val="22"/>
          <w:lang w:val="en-GB"/>
        </w:rPr>
        <w:t>Eurofound</w:t>
      </w:r>
      <w:proofErr w:type="spellEnd"/>
      <w:r>
        <w:rPr>
          <w:rFonts w:ascii="Calibri" w:hAnsi="Calibri" w:cs="Calibri"/>
          <w:color w:val="000000"/>
          <w:sz w:val="22"/>
          <w:szCs w:val="22"/>
          <w:lang w:val="en-GB"/>
        </w:rPr>
        <w:t xml:space="preserve">, </w:t>
      </w:r>
      <w:proofErr w:type="spellStart"/>
      <w:r>
        <w:rPr>
          <w:rFonts w:ascii="Calibri" w:hAnsi="Calibri" w:cs="Calibri"/>
          <w:color w:val="000000"/>
          <w:sz w:val="22"/>
          <w:szCs w:val="22"/>
          <w:lang w:val="en-GB"/>
        </w:rPr>
        <w:t>s.d.</w:t>
      </w:r>
      <w:proofErr w:type="spellEnd"/>
      <w:r>
        <w:rPr>
          <w:rFonts w:ascii="Calibri" w:hAnsi="Calibri" w:cs="Calibri"/>
          <w:color w:val="000000"/>
          <w:sz w:val="22"/>
          <w:szCs w:val="22"/>
          <w:lang w:val="en-GB"/>
        </w:rPr>
        <w:t>).</w:t>
      </w:r>
    </w:p>
    <w:p w14:paraId="1005EBBF" w14:textId="77777777" w:rsidR="00067563" w:rsidRDefault="0070420F">
      <w:pPr>
        <w:spacing w:after="200" w:line="259" w:lineRule="auto"/>
      </w:pPr>
      <w:r>
        <w:rPr>
          <w:rFonts w:ascii="Calibri" w:hAnsi="Calibri" w:cs="Calibri"/>
          <w:color w:val="000000"/>
          <w:sz w:val="22"/>
          <w:szCs w:val="22"/>
          <w:lang w:val="en-GB"/>
        </w:rPr>
        <w:t>To avoid in-work poverty, Morris et al. (2018) suggest there must be (</w:t>
      </w:r>
      <w:proofErr w:type="spellStart"/>
      <w:r>
        <w:rPr>
          <w:rFonts w:ascii="Calibri" w:hAnsi="Calibri" w:cs="Calibri"/>
          <w:color w:val="000000"/>
          <w:sz w:val="22"/>
          <w:szCs w:val="22"/>
          <w:lang w:val="en-GB"/>
        </w:rPr>
        <w:t>i</w:t>
      </w:r>
      <w:proofErr w:type="spellEnd"/>
      <w:r>
        <w:rPr>
          <w:rFonts w:ascii="Calibri" w:hAnsi="Calibri" w:cs="Calibri"/>
          <w:color w:val="000000"/>
          <w:sz w:val="22"/>
          <w:szCs w:val="22"/>
          <w:lang w:val="en-GB"/>
        </w:rPr>
        <w:t>) enough adults in the household working, (ii) wages that are not too low, and (iii) income support targeting those who cannot survive on work alone.</w:t>
      </w:r>
    </w:p>
    <w:p w14:paraId="10060AAE" w14:textId="77777777" w:rsidR="00067563" w:rsidRDefault="0070420F">
      <w:pPr>
        <w:spacing w:after="200" w:line="259" w:lineRule="auto"/>
      </w:pPr>
      <w:r>
        <w:rPr>
          <w:rFonts w:ascii="Calibri" w:hAnsi="Calibri" w:cs="Calibri"/>
          <w:color w:val="000000"/>
          <w:sz w:val="22"/>
          <w:szCs w:val="22"/>
          <w:lang w:val="en-GB"/>
        </w:rPr>
        <w:t>The European Network of Public Employment Services (PES) finds that implementation of the EPSR still lags behind the target for skills training and for improving employment rates for some groups, such as people with disabilities, migrants and women. PES calls for the new EPSR Action Plan to be concrete and ambitious in providing equal opportunities and a more inclusive labour market in combating poverty (PES, 2025).</w:t>
      </w:r>
    </w:p>
    <w:p w14:paraId="1006299D" w14:textId="77777777" w:rsidR="00067563" w:rsidRDefault="0070420F">
      <w:pPr>
        <w:spacing w:after="200" w:line="259" w:lineRule="auto"/>
      </w:pPr>
      <w:r>
        <w:rPr>
          <w:rFonts w:ascii="Calibri" w:hAnsi="Calibri" w:cs="Calibri"/>
          <w:color w:val="000000"/>
          <w:sz w:val="22"/>
          <w:szCs w:val="22"/>
          <w:lang w:val="en-GB"/>
        </w:rPr>
        <w:t>However, like poverty in general, in-work poverty cannot be solved at the individual level or through investment in skills training alone, as it intersects with the rising cost of living, the housing crisis and other factors, which makes it difficult for standardised solutions to address such complex problems.</w:t>
      </w:r>
    </w:p>
    <w:p w14:paraId="1006488C" w14:textId="77777777" w:rsidR="00067563" w:rsidRDefault="0070420F">
      <w:pPr>
        <w:spacing w:after="200" w:line="259" w:lineRule="auto"/>
      </w:pPr>
      <w:r>
        <w:rPr>
          <w:rFonts w:ascii="Calibri" w:hAnsi="Calibri" w:cs="Calibri"/>
          <w:color w:val="000000"/>
          <w:sz w:val="22"/>
          <w:szCs w:val="22"/>
          <w:lang w:val="en-GB"/>
        </w:rPr>
        <w:lastRenderedPageBreak/>
        <w:t>PES also calls for investment in the welfare state as a necessary driver of economic growth and a competitive workforce. Yet welfare spending is political. In the UK, Morris et al. (2018:4) note resistance to welfare spending compared to other types of government expenditure, regularly as a result of political affiliations. Although the UK is no longer an EU Member State, the experience there is likely to be similar in many EU countries.</w:t>
      </w:r>
    </w:p>
    <w:p w14:paraId="1006677B" w14:textId="77777777" w:rsidR="00067563" w:rsidRDefault="0070420F">
      <w:pPr>
        <w:keepNext/>
        <w:spacing w:before="160" w:after="100"/>
      </w:pPr>
      <w:r>
        <w:rPr>
          <w:rFonts w:ascii="Calibri" w:hAnsi="Calibri" w:cs="Calibri"/>
          <w:b/>
          <w:bCs/>
          <w:color w:val="001FD5"/>
          <w:sz w:val="22"/>
          <w:szCs w:val="22"/>
          <w:lang w:val="en-GB"/>
        </w:rPr>
        <w:t>IFSW Europe’s position/recommendations…</w:t>
      </w:r>
    </w:p>
    <w:p w14:paraId="1006866A" w14:textId="77777777" w:rsidR="00067563" w:rsidRDefault="0070420F">
      <w:pPr>
        <w:spacing w:after="200" w:line="259" w:lineRule="auto"/>
      </w:pPr>
      <w:r>
        <w:rPr>
          <w:rFonts w:ascii="Calibri" w:hAnsi="Calibri" w:cs="Calibri"/>
          <w:color w:val="000000"/>
          <w:sz w:val="22"/>
          <w:szCs w:val="22"/>
          <w:lang w:val="en-GB"/>
        </w:rPr>
        <w:t>For the APS to deliver on its commitment to eradicating poverty, it must be backed by clear, binding targets and concrete action at EU, national and local levels. The European Commission should encourage systemic change in Member States and promote public expenditure aimed at reducing poverty and social exclusion. In particular, IFSW Europe recommends that the Commission:</w:t>
      </w:r>
    </w:p>
    <w:p w14:paraId="1006A559" w14:textId="77777777" w:rsidR="00067563" w:rsidRDefault="0070420F">
      <w:pPr>
        <w:spacing w:after="200" w:line="259" w:lineRule="auto"/>
      </w:pPr>
      <w:r>
        <w:rPr>
          <w:rFonts w:ascii="Calibri" w:hAnsi="Calibri" w:cs="Calibri"/>
          <w:b/>
          <w:bCs/>
          <w:color w:val="000000"/>
          <w:sz w:val="22"/>
          <w:szCs w:val="22"/>
          <w:lang w:val="en-GB"/>
        </w:rPr>
        <w:t>Give a meaningful voice to people experiencing poverty:</w:t>
      </w:r>
      <w:r>
        <w:rPr>
          <w:rFonts w:ascii="Calibri" w:hAnsi="Calibri" w:cs="Calibri"/>
          <w:color w:val="000000"/>
          <w:sz w:val="22"/>
          <w:szCs w:val="22"/>
          <w:lang w:val="en-GB"/>
        </w:rPr>
        <w:t xml:space="preserve"> There is an urgent need to give a meaningful voice to those who experience poverty directly. The Commission and Member States should involve people with lived experience of poverty in the design, implementation and evaluation of anti-poverty measures, including the APS itself.</w:t>
      </w:r>
    </w:p>
    <w:p w14:paraId="1006C448" w14:textId="77777777" w:rsidR="00067563" w:rsidRDefault="0070420F">
      <w:pPr>
        <w:spacing w:after="200" w:line="259" w:lineRule="auto"/>
      </w:pPr>
      <w:r>
        <w:rPr>
          <w:rFonts w:ascii="Calibri" w:hAnsi="Calibri" w:cs="Calibri"/>
          <w:b/>
          <w:bCs/>
          <w:color w:val="000000"/>
          <w:sz w:val="22"/>
          <w:szCs w:val="22"/>
          <w:lang w:val="en-GB"/>
        </w:rPr>
        <w:t>Restore national solidarity systems and social cohesion measures:</w:t>
      </w:r>
      <w:r>
        <w:rPr>
          <w:rFonts w:ascii="Calibri" w:hAnsi="Calibri" w:cs="Calibri"/>
          <w:color w:val="000000"/>
          <w:sz w:val="22"/>
          <w:szCs w:val="22"/>
          <w:lang w:val="en-GB"/>
        </w:rPr>
        <w:t xml:space="preserve"> The Commission should make stronger commitments to protecting existing social welfare measures and to restoring those that have been eliminated. The progressive disintegration of national solidarity systems by Member States, in favour of increasingly liberal-driven measures, has caused social exclusion and inequalities to increase across all strata of society.</w:t>
      </w:r>
    </w:p>
    <w:p w14:paraId="1006E337" w14:textId="77777777" w:rsidR="00067563" w:rsidRDefault="0070420F">
      <w:pPr>
        <w:spacing w:after="200" w:line="259" w:lineRule="auto"/>
      </w:pPr>
      <w:r>
        <w:rPr>
          <w:rFonts w:ascii="Calibri" w:hAnsi="Calibri" w:cs="Calibri"/>
          <w:b/>
          <w:bCs/>
          <w:color w:val="000000"/>
          <w:sz w:val="22"/>
          <w:szCs w:val="22"/>
          <w:lang w:val="en-GB"/>
        </w:rPr>
        <w:t>Reinforce the struggle against tax fraud:</w:t>
      </w:r>
      <w:r>
        <w:rPr>
          <w:rFonts w:ascii="Calibri" w:hAnsi="Calibri" w:cs="Calibri"/>
          <w:color w:val="000000"/>
          <w:sz w:val="22"/>
          <w:szCs w:val="22"/>
          <w:lang w:val="en-GB"/>
        </w:rPr>
        <w:t xml:space="preserve"> The Commission should help Member States identify and tackle tax fraud far more </w:t>
      </w:r>
      <w:proofErr w:type="gramStart"/>
      <w:r>
        <w:rPr>
          <w:rFonts w:ascii="Calibri" w:hAnsi="Calibri" w:cs="Calibri"/>
          <w:color w:val="000000"/>
          <w:sz w:val="22"/>
          <w:szCs w:val="22"/>
          <w:lang w:val="en-GB"/>
        </w:rPr>
        <w:t>effectively, and</w:t>
      </w:r>
      <w:proofErr w:type="gramEnd"/>
      <w:r>
        <w:rPr>
          <w:rFonts w:ascii="Calibri" w:hAnsi="Calibri" w:cs="Calibri"/>
          <w:color w:val="000000"/>
          <w:sz w:val="22"/>
          <w:szCs w:val="22"/>
          <w:lang w:val="en-GB"/>
        </w:rPr>
        <w:t xml:space="preserve"> could also act as an authority regulating all forms of tax avoidance. Tax fraud and avoidance cause deep-seated systemic inequalities and deprive social welfare of the means – financial and human – that it needs.</w:t>
      </w:r>
    </w:p>
    <w:p w14:paraId="10070226" w14:textId="77777777" w:rsidR="00067563" w:rsidRDefault="0070420F">
      <w:pPr>
        <w:spacing w:after="200" w:line="259" w:lineRule="auto"/>
      </w:pPr>
      <w:r>
        <w:rPr>
          <w:rFonts w:ascii="Calibri" w:hAnsi="Calibri" w:cs="Calibri"/>
          <w:b/>
          <w:bCs/>
          <w:color w:val="000000"/>
          <w:sz w:val="22"/>
          <w:szCs w:val="22"/>
          <w:lang w:val="en-GB"/>
        </w:rPr>
        <w:t>Press for fair wages:</w:t>
      </w:r>
      <w:r>
        <w:rPr>
          <w:rFonts w:ascii="Calibri" w:hAnsi="Calibri" w:cs="Calibri"/>
          <w:color w:val="000000"/>
          <w:sz w:val="22"/>
          <w:szCs w:val="22"/>
          <w:lang w:val="en-GB"/>
        </w:rPr>
        <w:t xml:space="preserve"> The Commission should ensure full and ambitious implementation of the </w:t>
      </w:r>
      <w:r>
        <w:rPr>
          <w:rFonts w:ascii="Calibri" w:hAnsi="Calibri" w:cs="Calibri"/>
          <w:i/>
          <w:iCs/>
          <w:color w:val="000000"/>
          <w:sz w:val="22"/>
          <w:szCs w:val="22"/>
          <w:lang w:val="en-GB"/>
        </w:rPr>
        <w:t>Adequate Minimum Wages Directive</w:t>
      </w:r>
      <w:r>
        <w:rPr>
          <w:rFonts w:ascii="Calibri" w:hAnsi="Calibri" w:cs="Calibri"/>
          <w:color w:val="000000"/>
          <w:sz w:val="22"/>
          <w:szCs w:val="22"/>
          <w:lang w:val="en-GB"/>
        </w:rPr>
        <w:t xml:space="preserve"> and encourage Member States to secure regular wage increases across all occupational sectors and to prevent wage cuts. This would ensure dignity and social recognition for all workers, help prevent in-work poverty and increase the social security contributions that fund social welfare.</w:t>
      </w:r>
    </w:p>
    <w:p w14:paraId="10072115" w14:textId="77777777" w:rsidR="00067563" w:rsidRDefault="0070420F">
      <w:pPr>
        <w:spacing w:before="120" w:after="240"/>
      </w:pPr>
      <w:r>
        <w:rPr>
          <w:rFonts w:ascii="Calibri" w:hAnsi="Calibri" w:cs="Calibri"/>
          <w:color w:val="000000"/>
          <w:sz w:val="22"/>
          <w:szCs w:val="22"/>
          <w:lang w:val="en-GB"/>
        </w:rPr>
        <w:t>______________________________________</w:t>
      </w:r>
    </w:p>
    <w:p w14:paraId="10074004" w14:textId="77777777" w:rsidR="00067563" w:rsidRDefault="0070420F">
      <w:pPr>
        <w:keepNext/>
        <w:spacing w:before="120" w:after="100"/>
      </w:pPr>
      <w:r>
        <w:rPr>
          <w:rFonts w:ascii="Calibri" w:hAnsi="Calibri" w:cs="Calibri"/>
          <w:b/>
          <w:bCs/>
          <w:color w:val="C00000"/>
          <w:lang w:val="en-GB"/>
        </w:rPr>
        <w:t>European Child Guarantee</w:t>
      </w:r>
    </w:p>
    <w:p w14:paraId="10075EF3" w14:textId="77777777" w:rsidR="00067563" w:rsidRDefault="0070420F">
      <w:pPr>
        <w:spacing w:after="200" w:line="259" w:lineRule="auto"/>
      </w:pPr>
      <w:r>
        <w:rPr>
          <w:rFonts w:ascii="Calibri" w:hAnsi="Calibri" w:cs="Calibri"/>
          <w:color w:val="000000"/>
          <w:sz w:val="22"/>
          <w:szCs w:val="22"/>
          <w:lang w:val="en-GB"/>
        </w:rPr>
        <w:t>Adopted in 2021, the European Child Guarantee aims to prevent and combat child poverty and social exclusion by supporting EU Member States in ensuring that children at risk across the EU have free or affordable access to five essential services: early childhood education and care, school meals, education, healthcare and adequate housing.</w:t>
      </w:r>
    </w:p>
    <w:p w14:paraId="10077DE2" w14:textId="77777777" w:rsidR="00067563" w:rsidRDefault="0070420F">
      <w:pPr>
        <w:spacing w:after="200" w:line="259" w:lineRule="auto"/>
      </w:pPr>
      <w:r>
        <w:rPr>
          <w:rFonts w:ascii="Calibri" w:hAnsi="Calibri" w:cs="Calibri"/>
          <w:color w:val="000000"/>
          <w:sz w:val="22"/>
          <w:szCs w:val="22"/>
          <w:lang w:val="en-GB"/>
        </w:rPr>
        <w:t>Each Member State must develop a national policy framework (National Action Plan) with appropriate targets to address child poverty and social exclusion, and a National Coordinator should oversee implementation in each Member State. The current national frameworks are to remain in force until 2030.</w:t>
      </w:r>
    </w:p>
    <w:p w14:paraId="10079CD1" w14:textId="77777777" w:rsidR="00067563" w:rsidRDefault="0070420F">
      <w:pPr>
        <w:spacing w:after="200" w:line="259" w:lineRule="auto"/>
      </w:pPr>
      <w:r>
        <w:rPr>
          <w:rFonts w:ascii="Calibri" w:hAnsi="Calibri" w:cs="Calibri"/>
          <w:color w:val="000000"/>
          <w:sz w:val="22"/>
          <w:szCs w:val="22"/>
          <w:lang w:val="en-GB"/>
        </w:rPr>
        <w:t xml:space="preserve">The </w:t>
      </w:r>
      <w:r>
        <w:rPr>
          <w:rFonts w:ascii="Calibri" w:hAnsi="Calibri" w:cs="Calibri"/>
          <w:i/>
          <w:iCs/>
          <w:color w:val="000000"/>
          <w:sz w:val="22"/>
          <w:szCs w:val="22"/>
          <w:lang w:val="en-GB"/>
        </w:rPr>
        <w:t>European Social Fund Plus (ESF+)</w:t>
      </w:r>
      <w:r>
        <w:rPr>
          <w:rFonts w:ascii="Calibri" w:hAnsi="Calibri" w:cs="Calibri"/>
          <w:color w:val="000000"/>
          <w:sz w:val="22"/>
          <w:szCs w:val="22"/>
          <w:lang w:val="en-GB"/>
        </w:rPr>
        <w:t xml:space="preserve">, as part of the current MFF, can provide Member States with financial support to achieve the objectives of their National Action Plans, and each State must provide matching funds. However, this specific funding to tackle child poverty and promote social </w:t>
      </w:r>
      <w:r>
        <w:rPr>
          <w:rFonts w:ascii="Calibri" w:hAnsi="Calibri" w:cs="Calibri"/>
          <w:color w:val="000000"/>
          <w:sz w:val="22"/>
          <w:szCs w:val="22"/>
          <w:lang w:val="en-GB"/>
        </w:rPr>
        <w:lastRenderedPageBreak/>
        <w:t>inclusion has been dropped in the proposals for the next MFF, which commences in January 2028 (see MFF below).</w:t>
      </w:r>
    </w:p>
    <w:p w14:paraId="1007BBC0" w14:textId="77777777" w:rsidR="00067563" w:rsidRDefault="0070420F">
      <w:pPr>
        <w:spacing w:after="200" w:line="259" w:lineRule="auto"/>
      </w:pPr>
      <w:r>
        <w:rPr>
          <w:rFonts w:ascii="Calibri" w:hAnsi="Calibri" w:cs="Calibri"/>
          <w:color w:val="000000"/>
          <w:sz w:val="22"/>
          <w:szCs w:val="22"/>
          <w:lang w:val="en-GB"/>
        </w:rPr>
        <w:t>A UNICEF review in 2026 found that, while much had been achieved in the Member States it reviewed, meeting the child element of the Porto target ‘remains a considerable challenge’. The review argues that ‘realizing the full potential of the Child Guarantee will demand sustained commitment, continuous adaptation, and coordinated action across EU, national, and local levels’ (UNICEF, 2026).</w:t>
      </w:r>
    </w:p>
    <w:p w14:paraId="1007DAAF" w14:textId="77777777" w:rsidR="00067563" w:rsidRDefault="0070420F">
      <w:pPr>
        <w:spacing w:after="200" w:line="259" w:lineRule="auto"/>
      </w:pPr>
      <w:r>
        <w:rPr>
          <w:rFonts w:ascii="Calibri" w:hAnsi="Calibri" w:cs="Calibri"/>
          <w:color w:val="000000"/>
          <w:sz w:val="22"/>
          <w:szCs w:val="22"/>
          <w:lang w:val="en-GB"/>
        </w:rPr>
        <w:t>The impact of poverty on children is well documented. Lister comments that poverty damages a child’s development and their subsequent educational outcomes, job prospects, health and behaviour (Lister, 2021:78). This is borne out by a 2023 study in Ireland on homelessness among children (Stritch &amp; Houghton, 2023), which found strong evidence suggesting ‘that homeless children do not progress developmentally at the same rate as the general population’. The study cited a 2019 report by the Irish Faculties of Public Health Medicine and Paediatrics, which stated that children’s ‘physical, mental, social and emotional development is often adversely impacted’ by homelessness (Royal College of Physicians of Ireland, 2019). Today, in the Republic of Ireland (2026), over 5,000 children are homeless, out of a total population of 5.5 million people.</w:t>
      </w:r>
    </w:p>
    <w:p w14:paraId="1007F99E" w14:textId="77777777" w:rsidR="00067563" w:rsidRDefault="0070420F">
      <w:pPr>
        <w:spacing w:after="200" w:line="259" w:lineRule="auto"/>
      </w:pPr>
      <w:r>
        <w:rPr>
          <w:rFonts w:ascii="Calibri" w:hAnsi="Calibri" w:cs="Calibri"/>
          <w:color w:val="000000"/>
          <w:sz w:val="22"/>
          <w:szCs w:val="22"/>
          <w:lang w:val="en-GB"/>
        </w:rPr>
        <w:t>In a review study on the relationship between poverty and child abuse and neglect in the UK (Bywaters et al., 2022), it was shown that persistent poverty is more damaging for children’s safety and development than a low income or temporary difficulties. The study also highlighted that child protection systems and services in the UK rarely address the impact of income, employment and housing conditions on families and children. The focus on individual and family circumstances diverts attention from social structures and the state’s role in preventing child abuse and neglect.</w:t>
      </w:r>
    </w:p>
    <w:p w14:paraId="1008188D" w14:textId="77777777" w:rsidR="00067563" w:rsidRDefault="0070420F">
      <w:pPr>
        <w:spacing w:after="200" w:line="259" w:lineRule="auto"/>
      </w:pPr>
      <w:r>
        <w:rPr>
          <w:rFonts w:ascii="Calibri" w:hAnsi="Calibri" w:cs="Calibri"/>
          <w:color w:val="000000"/>
          <w:sz w:val="22"/>
          <w:szCs w:val="22"/>
          <w:lang w:val="en-GB"/>
        </w:rPr>
        <w:t>Danish longitudinal research involving more than 500,000 individuals, followed from birth to age 40, demonstrates the significant long-term consequences of high levels of childhood adversity (DANLIFE cohort; Bengtsson et al., 2019). Individuals who experienced multiple forms of adversity during childhood were substantially more likely to experience poor health, require more hospital care, spend longer periods receiving social welfare benefits, and be convicted of a crime.</w:t>
      </w:r>
    </w:p>
    <w:p w14:paraId="1008377C" w14:textId="77777777" w:rsidR="00067563" w:rsidRDefault="0070420F">
      <w:pPr>
        <w:spacing w:after="200" w:line="259" w:lineRule="auto"/>
      </w:pPr>
      <w:r>
        <w:rPr>
          <w:rFonts w:ascii="Calibri" w:hAnsi="Calibri" w:cs="Calibri"/>
          <w:color w:val="000000"/>
          <w:sz w:val="22"/>
          <w:szCs w:val="22"/>
          <w:lang w:val="en-GB"/>
        </w:rPr>
        <w:t>Children are particularly vulnerable to poverty when families experience unemployment, homelessness, illness, disability, migration-related disadvantage or single parenthood. The additional financial and social pressures associated with raising children can further increase the risk of poverty.</w:t>
      </w:r>
    </w:p>
    <w:p w14:paraId="1008566B" w14:textId="77777777" w:rsidR="00067563" w:rsidRDefault="0070420F">
      <w:pPr>
        <w:keepNext/>
        <w:spacing w:before="160" w:after="100"/>
      </w:pPr>
      <w:r>
        <w:rPr>
          <w:rFonts w:ascii="Calibri" w:hAnsi="Calibri" w:cs="Calibri"/>
          <w:b/>
          <w:bCs/>
          <w:color w:val="001FD5"/>
          <w:sz w:val="22"/>
          <w:szCs w:val="22"/>
          <w:lang w:val="en-GB"/>
        </w:rPr>
        <w:t>IFSW Europe’s position/recommendations</w:t>
      </w:r>
    </w:p>
    <w:p w14:paraId="1008755A" w14:textId="77777777" w:rsidR="00067563" w:rsidRDefault="0070420F">
      <w:pPr>
        <w:spacing w:after="200" w:line="259" w:lineRule="auto"/>
      </w:pPr>
      <w:r>
        <w:rPr>
          <w:rFonts w:ascii="Calibri" w:hAnsi="Calibri" w:cs="Calibri"/>
          <w:color w:val="000000"/>
          <w:sz w:val="22"/>
          <w:szCs w:val="22"/>
          <w:lang w:val="en-GB"/>
        </w:rPr>
        <w:t>As the Irish journalist Fintan O’Toole (2021) has put it, poverty is a complete waste of resources – of potential, talent and energy – and keeping people in poverty costs a fortune financially. The costs of child poverty are higher still and last a lifetime.</w:t>
      </w:r>
    </w:p>
    <w:p w14:paraId="10089449" w14:textId="745C168A" w:rsidR="00067563" w:rsidRDefault="0070420F">
      <w:pPr>
        <w:spacing w:after="200" w:line="259" w:lineRule="auto"/>
      </w:pPr>
      <w:r>
        <w:rPr>
          <w:rFonts w:ascii="Calibri" w:hAnsi="Calibri" w:cs="Calibri"/>
          <w:color w:val="000000"/>
          <w:sz w:val="22"/>
          <w:szCs w:val="22"/>
          <w:lang w:val="en-GB"/>
        </w:rPr>
        <w:t>Preventing child poverty and reducing childhood adversity should therefore be seen not only as an investment in children’s well-being and development, but also as a long-term investment in society. A Danish example illustrates the potential economic impact: if only 0.5% of one age cohort – approximately 300 children per year – were lifted out of poverty and avoided leaving school without an upper secondary education, their total lifetime income could increase by an estimated DKK 30 billion.</w:t>
      </w:r>
      <w:r w:rsidR="00E96CCA" w:rsidRPr="00E96CCA">
        <w:t xml:space="preserve"> </w:t>
      </w:r>
      <w:hyperlink r:id="rId8" w:history="1">
        <w:r w:rsidR="009347A7" w:rsidRPr="001B634F">
          <w:rPr>
            <w:rStyle w:val="Hyperlink"/>
            <w:rFonts w:ascii="Calibri" w:hAnsi="Calibri" w:cs="Calibri"/>
            <w:sz w:val="22"/>
            <w:szCs w:val="22"/>
            <w:lang w:val="en-GB"/>
          </w:rPr>
          <w:t>https://kraka.dk/30-mia-gode-grunde-til-at-investere-i-socialt-udsatte-boern/</w:t>
        </w:r>
      </w:hyperlink>
      <w:r w:rsidR="009347A7">
        <w:rPr>
          <w:rFonts w:ascii="Calibri" w:hAnsi="Calibri" w:cs="Calibri"/>
          <w:color w:val="000000"/>
          <w:sz w:val="22"/>
          <w:szCs w:val="22"/>
          <w:lang w:val="en-GB"/>
        </w:rPr>
        <w:t xml:space="preserve"> </w:t>
      </w:r>
    </w:p>
    <w:p w14:paraId="1008B338" w14:textId="77777777" w:rsidR="00067563" w:rsidRDefault="0070420F">
      <w:pPr>
        <w:spacing w:after="200" w:line="259" w:lineRule="auto"/>
      </w:pPr>
      <w:r>
        <w:rPr>
          <w:rFonts w:ascii="Calibri" w:hAnsi="Calibri" w:cs="Calibri"/>
          <w:color w:val="000000"/>
          <w:sz w:val="22"/>
          <w:szCs w:val="22"/>
          <w:lang w:val="en-GB"/>
        </w:rPr>
        <w:t xml:space="preserve">Such outcomes would also benefit public finances through higher tax revenues, lower expenditure on social benefits and reduced demand for other public services. Tackling child poverty can therefore </w:t>
      </w:r>
      <w:r>
        <w:rPr>
          <w:rFonts w:ascii="Calibri" w:hAnsi="Calibri" w:cs="Calibri"/>
          <w:color w:val="000000"/>
          <w:sz w:val="22"/>
          <w:szCs w:val="22"/>
          <w:lang w:val="en-GB"/>
        </w:rPr>
        <w:lastRenderedPageBreak/>
        <w:t>help reduce inequalities in health, education and well-being while preventing complex and costly social problems later in life.</w:t>
      </w:r>
    </w:p>
    <w:p w14:paraId="1008D227" w14:textId="77777777" w:rsidR="00067563" w:rsidRDefault="0070420F">
      <w:pPr>
        <w:spacing w:after="200" w:line="259" w:lineRule="auto"/>
      </w:pPr>
      <w:r>
        <w:rPr>
          <w:rFonts w:ascii="Calibri" w:hAnsi="Calibri" w:cs="Calibri"/>
          <w:color w:val="000000"/>
          <w:sz w:val="22"/>
          <w:szCs w:val="22"/>
          <w:lang w:val="en-GB"/>
        </w:rPr>
        <w:t>IFSW Europe therefore recommends that Member States invest in preventing poverty and addressing its root causes, particularly child poverty, and that dedicated EU funding for tackling child poverty is retained in the next MFF (see MFF below).</w:t>
      </w:r>
    </w:p>
    <w:p w14:paraId="1008F116" w14:textId="5E2B404C" w:rsidR="00067563" w:rsidRDefault="0070420F" w:rsidP="00F53AE3">
      <w:pPr>
        <w:tabs>
          <w:tab w:val="left" w:pos="7780"/>
        </w:tabs>
        <w:spacing w:before="120" w:after="240"/>
      </w:pPr>
      <w:r>
        <w:rPr>
          <w:rFonts w:ascii="Calibri" w:hAnsi="Calibri" w:cs="Calibri"/>
          <w:color w:val="000000"/>
          <w:sz w:val="22"/>
          <w:szCs w:val="22"/>
          <w:lang w:val="en-GB"/>
        </w:rPr>
        <w:t>______________________________________</w:t>
      </w:r>
      <w:r w:rsidR="00F53AE3">
        <w:rPr>
          <w:rFonts w:ascii="Calibri" w:hAnsi="Calibri" w:cs="Calibri"/>
          <w:color w:val="000000"/>
          <w:sz w:val="22"/>
          <w:szCs w:val="22"/>
          <w:lang w:val="en-GB"/>
        </w:rPr>
        <w:tab/>
      </w:r>
    </w:p>
    <w:p w14:paraId="10091005" w14:textId="77777777" w:rsidR="00067563" w:rsidRDefault="0070420F">
      <w:pPr>
        <w:keepNext/>
        <w:spacing w:before="120" w:after="100"/>
      </w:pPr>
      <w:r>
        <w:rPr>
          <w:rFonts w:ascii="Calibri" w:hAnsi="Calibri" w:cs="Calibri"/>
          <w:b/>
          <w:bCs/>
          <w:color w:val="C00000"/>
          <w:lang w:val="en-GB"/>
        </w:rPr>
        <w:t>EU Strategy on the Rights of Persons with Disabilities</w:t>
      </w:r>
    </w:p>
    <w:p w14:paraId="10092EF4" w14:textId="77777777" w:rsidR="00067563" w:rsidRDefault="0070420F">
      <w:pPr>
        <w:spacing w:after="200" w:line="259" w:lineRule="auto"/>
      </w:pPr>
      <w:r>
        <w:rPr>
          <w:rFonts w:ascii="Calibri" w:hAnsi="Calibri" w:cs="Calibri"/>
          <w:color w:val="000000"/>
          <w:sz w:val="22"/>
          <w:szCs w:val="22"/>
          <w:lang w:val="en-GB"/>
        </w:rPr>
        <w:t xml:space="preserve">In May 2026, the European Commission adopted the new </w:t>
      </w:r>
      <w:r>
        <w:rPr>
          <w:rFonts w:ascii="Calibri" w:hAnsi="Calibri" w:cs="Calibri"/>
          <w:i/>
          <w:iCs/>
          <w:color w:val="000000"/>
          <w:sz w:val="22"/>
          <w:szCs w:val="22"/>
          <w:lang w:val="en-GB"/>
        </w:rPr>
        <w:t>European Disability Strategy 2026–2030</w:t>
      </w:r>
      <w:r>
        <w:rPr>
          <w:rFonts w:ascii="Calibri" w:hAnsi="Calibri" w:cs="Calibri"/>
          <w:color w:val="000000"/>
          <w:sz w:val="22"/>
          <w:szCs w:val="22"/>
          <w:lang w:val="en-GB"/>
        </w:rPr>
        <w:t>, which contains nine new ‘flagship initiatives’ covering new technologies, employment, independent living, accessible transport and lifelong learning. The EU aims to ensure that disability rights become a reality in everyday life by improving accessibility, participation and equal opportunities for persons with disabilities across Europe.</w:t>
      </w:r>
    </w:p>
    <w:p w14:paraId="10094DE3" w14:textId="77777777" w:rsidR="00067563" w:rsidRDefault="0070420F">
      <w:pPr>
        <w:spacing w:after="200" w:line="259" w:lineRule="auto"/>
      </w:pPr>
      <w:r>
        <w:rPr>
          <w:rFonts w:ascii="Calibri" w:hAnsi="Calibri" w:cs="Calibri"/>
          <w:color w:val="000000"/>
          <w:sz w:val="22"/>
          <w:szCs w:val="22"/>
          <w:lang w:val="en-GB"/>
        </w:rPr>
        <w:t>Key priorities include the full implementation and digitalisation of the European Disability Card and European Parking Card, better access to affordable assistive technologies and AI, accessible transport, and more inclusive democratic participation and elections.</w:t>
      </w:r>
    </w:p>
    <w:p w14:paraId="10096CD2" w14:textId="77777777" w:rsidR="00067563" w:rsidRDefault="0070420F">
      <w:pPr>
        <w:spacing w:after="200" w:line="259" w:lineRule="auto"/>
      </w:pPr>
      <w:r>
        <w:rPr>
          <w:rFonts w:ascii="Calibri" w:hAnsi="Calibri" w:cs="Calibri"/>
          <w:color w:val="000000"/>
          <w:sz w:val="22"/>
          <w:szCs w:val="22"/>
          <w:lang w:val="en-GB"/>
        </w:rPr>
        <w:t>The EU also aims to strengthen independent living and equal participation in society through deinstitutionalisation, more inclusive labour markets, inclusive education, and improved access to justice and healthcare. Particular attention will be given to the rights and needs of women and girls with disabilities, as well as to disability-inclusive emergency preparedness.</w:t>
      </w:r>
    </w:p>
    <w:p w14:paraId="10098BC1" w14:textId="77777777" w:rsidR="00067563" w:rsidRDefault="0070420F">
      <w:pPr>
        <w:spacing w:after="200" w:line="259" w:lineRule="auto"/>
      </w:pPr>
      <w:r>
        <w:rPr>
          <w:rFonts w:ascii="Calibri" w:hAnsi="Calibri" w:cs="Calibri"/>
          <w:color w:val="000000"/>
          <w:sz w:val="22"/>
          <w:szCs w:val="22"/>
          <w:lang w:val="en-GB"/>
        </w:rPr>
        <w:t>Finally, the EU intends to lead by example by increasing opportunities for persons with disabilities within its own institutions and promoting more inclusive workplaces and digital environments.</w:t>
      </w:r>
    </w:p>
    <w:p w14:paraId="1009AAB0" w14:textId="77777777" w:rsidR="00067563" w:rsidRDefault="0070420F">
      <w:pPr>
        <w:spacing w:after="200" w:line="259" w:lineRule="auto"/>
      </w:pPr>
      <w:r>
        <w:rPr>
          <w:rFonts w:ascii="Calibri" w:hAnsi="Calibri" w:cs="Calibri"/>
          <w:color w:val="000000"/>
          <w:sz w:val="22"/>
          <w:szCs w:val="22"/>
          <w:lang w:val="en-GB"/>
        </w:rPr>
        <w:t xml:space="preserve">COFACE Families Europe, while welcoming the Strategy, states that it lacks legislative proposals as well as clear links to the </w:t>
      </w:r>
      <w:r>
        <w:rPr>
          <w:rFonts w:ascii="Calibri" w:hAnsi="Calibri" w:cs="Calibri"/>
          <w:i/>
          <w:iCs/>
          <w:color w:val="000000"/>
          <w:sz w:val="22"/>
          <w:szCs w:val="22"/>
          <w:lang w:val="en-GB"/>
        </w:rPr>
        <w:t>European Care Strategy</w:t>
      </w:r>
      <w:r>
        <w:rPr>
          <w:rFonts w:ascii="Calibri" w:hAnsi="Calibri" w:cs="Calibri"/>
          <w:color w:val="000000"/>
          <w:sz w:val="22"/>
          <w:szCs w:val="22"/>
          <w:lang w:val="en-GB"/>
        </w:rPr>
        <w:t xml:space="preserve"> and support for family carers.</w:t>
      </w:r>
    </w:p>
    <w:p w14:paraId="1009C99F" w14:textId="2006C255" w:rsidR="00067563" w:rsidRDefault="0070420F">
      <w:pPr>
        <w:spacing w:after="200" w:line="259" w:lineRule="auto"/>
      </w:pPr>
      <w:r>
        <w:rPr>
          <w:rFonts w:ascii="Calibri" w:hAnsi="Calibri" w:cs="Calibri"/>
          <w:color w:val="000000"/>
          <w:sz w:val="22"/>
          <w:szCs w:val="22"/>
          <w:lang w:val="en-GB"/>
        </w:rPr>
        <w:t>Across Europe, having a disability is a potential cause of poverty and of being at risk of poverty and social exclusion. In 2023, 28.8% of people in the EU aged 16 or over with a disability (activity limitation) were at risk of poverty or social exclusion, compared with 18.0% of people with no disability.</w:t>
      </w:r>
      <w:r w:rsidR="00D17703">
        <w:rPr>
          <w:rFonts w:ascii="Calibri" w:hAnsi="Calibri" w:cs="Calibri"/>
          <w:color w:val="000000"/>
          <w:sz w:val="22"/>
          <w:szCs w:val="22"/>
          <w:lang w:val="en-GB"/>
        </w:rPr>
        <w:t>(EU-SILC 2023)</w:t>
      </w:r>
    </w:p>
    <w:p w14:paraId="1009E88E" w14:textId="77777777" w:rsidR="00067563" w:rsidRDefault="0070420F">
      <w:pPr>
        <w:spacing w:after="200" w:line="259" w:lineRule="auto"/>
      </w:pPr>
      <w:r>
        <w:rPr>
          <w:rFonts w:ascii="Calibri" w:hAnsi="Calibri" w:cs="Calibri"/>
          <w:color w:val="000000"/>
          <w:sz w:val="22"/>
          <w:szCs w:val="22"/>
          <w:lang w:val="en-GB"/>
        </w:rPr>
        <w:t>High extra costs of living associated with having a disability, such as medical and rehabilitation bills and higher electricity and nutrition costs, add to the risk of poverty. Access to housing, education facilities, buildings in general and employment is also reduced – often as a result of discrimination and/or a lack of appropriate facilities.</w:t>
      </w:r>
    </w:p>
    <w:p w14:paraId="100A077D" w14:textId="77777777" w:rsidR="00067563" w:rsidRDefault="0070420F">
      <w:pPr>
        <w:keepNext/>
        <w:spacing w:before="160" w:after="100"/>
      </w:pPr>
      <w:r>
        <w:rPr>
          <w:rFonts w:ascii="Calibri" w:hAnsi="Calibri" w:cs="Calibri"/>
          <w:b/>
          <w:bCs/>
          <w:color w:val="001FD5"/>
          <w:sz w:val="22"/>
          <w:szCs w:val="22"/>
          <w:lang w:val="en-GB"/>
        </w:rPr>
        <w:t>IFSW Europe’s position/recommendations…</w:t>
      </w:r>
    </w:p>
    <w:p w14:paraId="100A266C" w14:textId="77777777" w:rsidR="00067563" w:rsidRDefault="0070420F">
      <w:pPr>
        <w:spacing w:after="200" w:line="259" w:lineRule="auto"/>
      </w:pPr>
      <w:r>
        <w:rPr>
          <w:rFonts w:ascii="Calibri" w:hAnsi="Calibri" w:cs="Calibri"/>
          <w:color w:val="000000"/>
          <w:sz w:val="22"/>
          <w:szCs w:val="22"/>
          <w:lang w:val="en-GB"/>
        </w:rPr>
        <w:t>The European Commission should support Member States in eliminating discrimination and guaranteeing equal access to justice, education, healthcare, housing, employment and culture. It should promote inclusive education, quality healthcare, lifelong learning and accessible workplaces.</w:t>
      </w:r>
    </w:p>
    <w:p w14:paraId="100A455B" w14:textId="77777777" w:rsidR="00067563" w:rsidRDefault="0070420F">
      <w:pPr>
        <w:spacing w:after="200" w:line="259" w:lineRule="auto"/>
      </w:pPr>
      <w:r>
        <w:rPr>
          <w:rFonts w:ascii="Calibri" w:hAnsi="Calibri" w:cs="Calibri"/>
          <w:b/>
          <w:bCs/>
          <w:color w:val="000000"/>
          <w:sz w:val="22"/>
          <w:szCs w:val="22"/>
          <w:lang w:val="en-GB"/>
        </w:rPr>
        <w:t>EU responsibilities should include measurable targets and monitoring mechanisms:</w:t>
      </w:r>
    </w:p>
    <w:p w14:paraId="100A644A" w14:textId="77777777" w:rsidR="00067563" w:rsidRDefault="0070420F">
      <w:pPr>
        <w:spacing w:after="200" w:line="259" w:lineRule="auto"/>
      </w:pPr>
      <w:r>
        <w:rPr>
          <w:rFonts w:ascii="Calibri" w:hAnsi="Calibri" w:cs="Calibri"/>
          <w:color w:val="000000"/>
          <w:sz w:val="22"/>
          <w:szCs w:val="22"/>
          <w:lang w:val="en-GB"/>
        </w:rPr>
        <w:t xml:space="preserve">a. </w:t>
      </w:r>
      <w:r>
        <w:rPr>
          <w:rFonts w:ascii="Calibri" w:hAnsi="Calibri" w:cs="Calibri"/>
          <w:b/>
          <w:bCs/>
          <w:color w:val="000000"/>
          <w:sz w:val="22"/>
          <w:szCs w:val="22"/>
          <w:lang w:val="en-GB"/>
        </w:rPr>
        <w:t>Introduce dedicated case managers:</w:t>
      </w:r>
      <w:r>
        <w:rPr>
          <w:rFonts w:ascii="Calibri" w:hAnsi="Calibri" w:cs="Calibri"/>
          <w:color w:val="000000"/>
          <w:sz w:val="22"/>
          <w:szCs w:val="22"/>
          <w:lang w:val="en-GB"/>
        </w:rPr>
        <w:t xml:space="preserve"> The EU should establish a target that every person with a disability or complex social needs has access to a designated case manager or single point of contact.</w:t>
      </w:r>
    </w:p>
    <w:p w14:paraId="100A8339" w14:textId="77777777" w:rsidR="00067563" w:rsidRDefault="0070420F">
      <w:pPr>
        <w:spacing w:after="200" w:line="259" w:lineRule="auto"/>
      </w:pPr>
      <w:r>
        <w:rPr>
          <w:rFonts w:ascii="Calibri" w:hAnsi="Calibri" w:cs="Calibri"/>
          <w:color w:val="000000"/>
          <w:sz w:val="22"/>
          <w:szCs w:val="22"/>
          <w:lang w:val="en-GB"/>
        </w:rPr>
        <w:lastRenderedPageBreak/>
        <w:t xml:space="preserve">b. </w:t>
      </w:r>
      <w:r>
        <w:rPr>
          <w:rFonts w:ascii="Calibri" w:hAnsi="Calibri" w:cs="Calibri"/>
          <w:b/>
          <w:bCs/>
          <w:color w:val="000000"/>
          <w:sz w:val="22"/>
          <w:szCs w:val="22"/>
          <w:lang w:val="en-GB"/>
        </w:rPr>
        <w:t>Protect specialised services from budget cuts:</w:t>
      </w:r>
      <w:r>
        <w:rPr>
          <w:rFonts w:ascii="Calibri" w:hAnsi="Calibri" w:cs="Calibri"/>
          <w:color w:val="000000"/>
          <w:sz w:val="22"/>
          <w:szCs w:val="22"/>
          <w:lang w:val="en-GB"/>
        </w:rPr>
        <w:t xml:space="preserve"> The EU should establish minimum service and staffing standards for essential services, including childcare, special education, physiotherapy, and speech and language therapy.</w:t>
      </w:r>
    </w:p>
    <w:p w14:paraId="100AA228" w14:textId="77777777" w:rsidR="00067563" w:rsidRDefault="0070420F">
      <w:pPr>
        <w:spacing w:after="200" w:line="259" w:lineRule="auto"/>
      </w:pPr>
      <w:r>
        <w:rPr>
          <w:rFonts w:ascii="Calibri" w:hAnsi="Calibri" w:cs="Calibri"/>
          <w:color w:val="000000"/>
          <w:sz w:val="22"/>
          <w:szCs w:val="22"/>
          <w:lang w:val="en-GB"/>
        </w:rPr>
        <w:t xml:space="preserve">c. </w:t>
      </w:r>
      <w:r>
        <w:rPr>
          <w:rFonts w:ascii="Calibri" w:hAnsi="Calibri" w:cs="Calibri"/>
          <w:b/>
          <w:bCs/>
          <w:color w:val="000000"/>
          <w:sz w:val="22"/>
          <w:szCs w:val="22"/>
          <w:lang w:val="en-GB"/>
        </w:rPr>
        <w:t>Strengthen the transition from child to adult services:</w:t>
      </w:r>
      <w:r>
        <w:rPr>
          <w:rFonts w:ascii="Calibri" w:hAnsi="Calibri" w:cs="Calibri"/>
          <w:color w:val="000000"/>
          <w:sz w:val="22"/>
          <w:szCs w:val="22"/>
          <w:lang w:val="en-GB"/>
        </w:rPr>
        <w:t xml:space="preserve"> The EU should require Member States to establish transition teams, so that young people receive a transition plan before reaching adulthood and do not experience interruptions in essential support.</w:t>
      </w:r>
    </w:p>
    <w:p w14:paraId="100AC117" w14:textId="77777777" w:rsidR="00067563" w:rsidRDefault="0070420F">
      <w:pPr>
        <w:spacing w:after="200" w:line="259" w:lineRule="auto"/>
      </w:pPr>
      <w:r>
        <w:rPr>
          <w:rFonts w:ascii="Calibri" w:hAnsi="Calibri" w:cs="Calibri"/>
          <w:color w:val="000000"/>
          <w:sz w:val="22"/>
          <w:szCs w:val="22"/>
          <w:lang w:val="en-GB"/>
        </w:rPr>
        <w:t xml:space="preserve">d. </w:t>
      </w:r>
      <w:r>
        <w:rPr>
          <w:rFonts w:ascii="Calibri" w:hAnsi="Calibri" w:cs="Calibri"/>
          <w:b/>
          <w:bCs/>
          <w:color w:val="000000"/>
          <w:sz w:val="22"/>
          <w:szCs w:val="22"/>
          <w:lang w:val="en-GB"/>
        </w:rPr>
        <w:t>Revise labour-market measures:</w:t>
      </w:r>
      <w:r>
        <w:rPr>
          <w:rFonts w:ascii="Calibri" w:hAnsi="Calibri" w:cs="Calibri"/>
          <w:color w:val="000000"/>
          <w:sz w:val="22"/>
          <w:szCs w:val="22"/>
          <w:lang w:val="en-GB"/>
        </w:rPr>
        <w:t xml:space="preserve"> The EU should require Member States to ensure that activation requirements are proportionate and do not create barriers for persons with severe disabilities. Personalised support plans should be available where standard activation measures are inappropriate.</w:t>
      </w:r>
    </w:p>
    <w:p w14:paraId="100AE006" w14:textId="77777777" w:rsidR="00067563" w:rsidRDefault="0070420F">
      <w:pPr>
        <w:spacing w:after="200" w:line="259" w:lineRule="auto"/>
      </w:pPr>
      <w:r>
        <w:rPr>
          <w:rFonts w:ascii="Calibri" w:hAnsi="Calibri" w:cs="Calibri"/>
          <w:color w:val="000000"/>
          <w:sz w:val="22"/>
          <w:szCs w:val="22"/>
          <w:lang w:val="en-GB"/>
        </w:rPr>
        <w:t xml:space="preserve">e. </w:t>
      </w:r>
      <w:r>
        <w:rPr>
          <w:rFonts w:ascii="Calibri" w:hAnsi="Calibri" w:cs="Calibri"/>
          <w:b/>
          <w:bCs/>
          <w:color w:val="000000"/>
          <w:sz w:val="22"/>
          <w:szCs w:val="22"/>
          <w:lang w:val="en-GB"/>
        </w:rPr>
        <w:t>Set measurable accessibility targets:</w:t>
      </w:r>
      <w:r>
        <w:rPr>
          <w:rFonts w:ascii="Calibri" w:hAnsi="Calibri" w:cs="Calibri"/>
          <w:color w:val="000000"/>
          <w:sz w:val="22"/>
          <w:szCs w:val="22"/>
          <w:lang w:val="en-GB"/>
        </w:rPr>
        <w:t xml:space="preserve"> The European Commission should establish EU-level targets for accessibility in public services, transport, digital services, education and workplaces.</w:t>
      </w:r>
    </w:p>
    <w:p w14:paraId="100AFEF5" w14:textId="77777777" w:rsidR="00067563" w:rsidRDefault="0070420F">
      <w:pPr>
        <w:spacing w:after="200" w:line="259" w:lineRule="auto"/>
      </w:pPr>
      <w:r>
        <w:rPr>
          <w:rFonts w:ascii="Calibri" w:hAnsi="Calibri" w:cs="Calibri"/>
          <w:color w:val="000000"/>
          <w:sz w:val="22"/>
          <w:szCs w:val="22"/>
          <w:lang w:val="en-GB"/>
        </w:rPr>
        <w:t xml:space="preserve">f. </w:t>
      </w:r>
      <w:r>
        <w:rPr>
          <w:rFonts w:ascii="Calibri" w:hAnsi="Calibri" w:cs="Calibri"/>
          <w:b/>
          <w:bCs/>
          <w:color w:val="000000"/>
          <w:sz w:val="22"/>
          <w:szCs w:val="22"/>
          <w:lang w:val="en-GB"/>
        </w:rPr>
        <w:t>Strengthen EU monitoring and accountability:</w:t>
      </w:r>
      <w:r>
        <w:rPr>
          <w:rFonts w:ascii="Calibri" w:hAnsi="Calibri" w:cs="Calibri"/>
          <w:color w:val="000000"/>
          <w:sz w:val="22"/>
          <w:szCs w:val="22"/>
          <w:lang w:val="en-GB"/>
        </w:rPr>
        <w:t xml:space="preserve"> The European Commission should publish a regular EU-wide progress report on equal access and disability rights, using comparable indicators across Member States and identifying gaps in implementation. Member States should report regularly on, among other things, case-manager coverage, waiting times and continuity of support; staffing levels and unmet needs in specialised services; the proportion of young people receiving a transition plan before adulthood and the number experiencing interruptions in support; employment retention, participation and access to reasonable accommodation; and progress towards the accessibility targets. EU funding should be linked to measurable outcomes (see MFF below).</w:t>
      </w:r>
    </w:p>
    <w:p w14:paraId="100B1DE4" w14:textId="77777777" w:rsidR="00067563" w:rsidRDefault="0070420F">
      <w:pPr>
        <w:spacing w:before="120" w:after="240"/>
      </w:pPr>
      <w:r>
        <w:rPr>
          <w:rFonts w:ascii="Calibri" w:hAnsi="Calibri" w:cs="Calibri"/>
          <w:color w:val="000000"/>
          <w:sz w:val="22"/>
          <w:szCs w:val="22"/>
          <w:lang w:val="en-GB"/>
        </w:rPr>
        <w:t>______________________________________</w:t>
      </w:r>
    </w:p>
    <w:p w14:paraId="100B3CD3" w14:textId="77777777" w:rsidR="00067563" w:rsidRDefault="0070420F">
      <w:pPr>
        <w:keepNext/>
        <w:spacing w:before="120" w:after="100"/>
      </w:pPr>
      <w:r>
        <w:rPr>
          <w:rFonts w:ascii="Calibri" w:hAnsi="Calibri" w:cs="Calibri"/>
          <w:b/>
          <w:bCs/>
          <w:color w:val="C00000"/>
          <w:lang w:val="en-GB"/>
        </w:rPr>
        <w:t>Housing: EU Affordable Housing Plan</w:t>
      </w:r>
    </w:p>
    <w:p w14:paraId="100B5BC2" w14:textId="77777777" w:rsidR="00067563" w:rsidRDefault="0070420F">
      <w:pPr>
        <w:spacing w:after="200" w:line="259" w:lineRule="auto"/>
      </w:pPr>
      <w:r>
        <w:rPr>
          <w:rFonts w:ascii="Calibri" w:hAnsi="Calibri" w:cs="Calibri"/>
          <w:color w:val="000000"/>
          <w:sz w:val="22"/>
          <w:szCs w:val="22"/>
          <w:lang w:val="en-GB"/>
        </w:rPr>
        <w:t xml:space="preserve">The right to housing is guaranteed by Article 31 of the </w:t>
      </w:r>
      <w:r>
        <w:rPr>
          <w:rFonts w:ascii="Calibri" w:hAnsi="Calibri" w:cs="Calibri"/>
          <w:i/>
          <w:iCs/>
          <w:color w:val="000000"/>
          <w:sz w:val="22"/>
          <w:szCs w:val="22"/>
          <w:lang w:val="en-GB"/>
        </w:rPr>
        <w:t>European Social Charter</w:t>
      </w:r>
      <w:r>
        <w:rPr>
          <w:rFonts w:ascii="Calibri" w:hAnsi="Calibri" w:cs="Calibri"/>
          <w:color w:val="000000"/>
          <w:sz w:val="22"/>
          <w:szCs w:val="22"/>
          <w:lang w:val="en-GB"/>
        </w:rPr>
        <w:t>, and the European Pillar of Social Rights calls for adequate shelter and services to be provided for homeless people. The Fundamental Rights Agency (FRA, 2025) has called for a rights-based approach to housing and to addressing homelessness effectively.</w:t>
      </w:r>
    </w:p>
    <w:p w14:paraId="100B7AB1" w14:textId="77777777" w:rsidR="00067563" w:rsidRDefault="0070420F">
      <w:pPr>
        <w:spacing w:after="200" w:line="259" w:lineRule="auto"/>
      </w:pPr>
      <w:r>
        <w:rPr>
          <w:rFonts w:ascii="Calibri" w:hAnsi="Calibri" w:cs="Calibri"/>
          <w:color w:val="000000"/>
          <w:sz w:val="22"/>
          <w:szCs w:val="22"/>
          <w:lang w:val="en-GB"/>
        </w:rPr>
        <w:t>A lack of social and affordable housing, together with rising house prices and rising homelessness, has propelled the housing crisis across Europe today. According to the FRA (2025), house prices rose by 53.4% and rents by 16.8% across the EU between 2015 and 2024.</w:t>
      </w:r>
    </w:p>
    <w:p w14:paraId="100B99A0" w14:textId="77777777" w:rsidR="00067563" w:rsidRDefault="0070420F">
      <w:pPr>
        <w:spacing w:after="200" w:line="259" w:lineRule="auto"/>
      </w:pPr>
      <w:r>
        <w:rPr>
          <w:rFonts w:ascii="Calibri" w:hAnsi="Calibri" w:cs="Calibri"/>
          <w:color w:val="000000"/>
          <w:sz w:val="22"/>
          <w:szCs w:val="22"/>
          <w:lang w:val="en-GB"/>
        </w:rPr>
        <w:t xml:space="preserve">In December 2025, the European Commission published its long-awaited </w:t>
      </w:r>
      <w:r>
        <w:rPr>
          <w:rFonts w:ascii="Calibri" w:hAnsi="Calibri" w:cs="Calibri"/>
          <w:i/>
          <w:iCs/>
          <w:color w:val="000000"/>
          <w:sz w:val="22"/>
          <w:szCs w:val="22"/>
          <w:lang w:val="en-GB"/>
        </w:rPr>
        <w:t>European Affordable Housing Plan</w:t>
      </w:r>
      <w:r>
        <w:rPr>
          <w:rFonts w:ascii="Calibri" w:hAnsi="Calibri" w:cs="Calibri"/>
          <w:color w:val="000000"/>
          <w:sz w:val="22"/>
          <w:szCs w:val="22"/>
          <w:lang w:val="en-GB"/>
        </w:rPr>
        <w:t xml:space="preserve"> in response to this crisis, and the Plan now forms part of the Social Package. The Plan recognises that access to housing is a fundamental right, which is a welcome development, but this is watered down by an underlying view of housing as largely a market commodity, where speculation has been a driver of price inflation. It is important to understand the difference between the property market and the housing system: governments often respond only to the property market, as is the case in Ireland.</w:t>
      </w:r>
    </w:p>
    <w:p w14:paraId="100BB88F" w14:textId="77777777" w:rsidR="00067563" w:rsidRDefault="0070420F">
      <w:pPr>
        <w:spacing w:after="200" w:line="259" w:lineRule="auto"/>
      </w:pPr>
      <w:r>
        <w:rPr>
          <w:rFonts w:ascii="Calibri" w:hAnsi="Calibri" w:cs="Calibri"/>
          <w:color w:val="000000"/>
          <w:sz w:val="22"/>
          <w:szCs w:val="22"/>
          <w:lang w:val="en-GB"/>
        </w:rPr>
        <w:t xml:space="preserve">The </w:t>
      </w:r>
      <w:r>
        <w:rPr>
          <w:rFonts w:ascii="Calibri" w:hAnsi="Calibri" w:cs="Calibri"/>
          <w:i/>
          <w:iCs/>
          <w:color w:val="000000"/>
          <w:sz w:val="22"/>
          <w:szCs w:val="22"/>
          <w:lang w:val="en-GB"/>
        </w:rPr>
        <w:t>European Affordable Housing Plan</w:t>
      </w:r>
      <w:r>
        <w:rPr>
          <w:rFonts w:ascii="Calibri" w:hAnsi="Calibri" w:cs="Calibri"/>
          <w:color w:val="000000"/>
          <w:sz w:val="22"/>
          <w:szCs w:val="22"/>
          <w:lang w:val="en-GB"/>
        </w:rPr>
        <w:t xml:space="preserve"> has four pillars:</w:t>
      </w:r>
    </w:p>
    <w:p w14:paraId="100BD77E" w14:textId="77777777" w:rsidR="00067563" w:rsidRDefault="0070420F">
      <w:pPr>
        <w:pStyle w:val="ListParagraph"/>
        <w:numPr>
          <w:ilvl w:val="0"/>
          <w:numId w:val="3"/>
        </w:numPr>
        <w:spacing w:after="100" w:line="259" w:lineRule="auto"/>
        <w:contextualSpacing w:val="0"/>
      </w:pPr>
      <w:r>
        <w:rPr>
          <w:rFonts w:ascii="Calibri" w:hAnsi="Calibri" w:cs="Calibri"/>
          <w:color w:val="000000"/>
          <w:sz w:val="22"/>
          <w:szCs w:val="22"/>
          <w:lang w:val="en-GB"/>
        </w:rPr>
        <w:t>‘Boosting housing supply’, by strengthening productivity and innovation in construction, cutting red tape to accelerate supply, and combining affordability, sustainability and quality in housing.</w:t>
      </w:r>
    </w:p>
    <w:p w14:paraId="100BF66D" w14:textId="77777777" w:rsidR="00067563" w:rsidRDefault="0070420F">
      <w:pPr>
        <w:pStyle w:val="ListParagraph"/>
        <w:numPr>
          <w:ilvl w:val="0"/>
          <w:numId w:val="3"/>
        </w:numPr>
        <w:spacing w:after="100" w:line="259" w:lineRule="auto"/>
        <w:contextualSpacing w:val="0"/>
      </w:pPr>
      <w:r>
        <w:rPr>
          <w:rFonts w:ascii="Calibri" w:hAnsi="Calibri" w:cs="Calibri"/>
          <w:color w:val="000000"/>
          <w:sz w:val="22"/>
          <w:szCs w:val="22"/>
          <w:lang w:val="en-GB"/>
        </w:rPr>
        <w:lastRenderedPageBreak/>
        <w:t>‘Mobilising investment’, including the revision of State aid rules to enable the funding of social and affordable housing, and the intention to deliver a pan-European investment platform.</w:t>
      </w:r>
    </w:p>
    <w:p w14:paraId="100C155C" w14:textId="77777777" w:rsidR="00067563" w:rsidRDefault="0070420F">
      <w:pPr>
        <w:pStyle w:val="ListParagraph"/>
        <w:numPr>
          <w:ilvl w:val="0"/>
          <w:numId w:val="3"/>
        </w:numPr>
        <w:spacing w:after="100" w:line="259" w:lineRule="auto"/>
        <w:contextualSpacing w:val="0"/>
      </w:pPr>
      <w:r>
        <w:rPr>
          <w:rFonts w:ascii="Calibri" w:hAnsi="Calibri" w:cs="Calibri"/>
          <w:color w:val="000000"/>
          <w:sz w:val="22"/>
          <w:szCs w:val="22"/>
          <w:lang w:val="en-GB"/>
        </w:rPr>
        <w:t>‘Enabling immediate support while driving reforms’, which aims to address short-term rentals in areas under housing stress, reduce speculation in the housing market and drive forward structural reform in Member States.</w:t>
      </w:r>
    </w:p>
    <w:p w14:paraId="100C344B" w14:textId="77777777" w:rsidR="00067563" w:rsidRDefault="0070420F">
      <w:pPr>
        <w:pStyle w:val="ListParagraph"/>
        <w:numPr>
          <w:ilvl w:val="0"/>
          <w:numId w:val="3"/>
        </w:numPr>
        <w:spacing w:after="200" w:line="259" w:lineRule="auto"/>
        <w:contextualSpacing w:val="0"/>
      </w:pPr>
      <w:r>
        <w:rPr>
          <w:rFonts w:ascii="Calibri" w:hAnsi="Calibri" w:cs="Calibri"/>
          <w:color w:val="000000"/>
          <w:sz w:val="22"/>
          <w:szCs w:val="22"/>
          <w:lang w:val="en-GB"/>
        </w:rPr>
        <w:t>‘Protecting the most affected’, which aims to provide housing for young people, address homelessness, and support households and tenants in vulnerable situations. Here the Plan acknowledges the link between the lack of affordable housing and homelessness, and the need to support the most marginalised groups in accessing affordable housing.</w:t>
      </w:r>
    </w:p>
    <w:p w14:paraId="100C533A" w14:textId="77777777" w:rsidR="00067563" w:rsidRDefault="0070420F">
      <w:pPr>
        <w:spacing w:after="200" w:line="259" w:lineRule="auto"/>
      </w:pPr>
      <w:r>
        <w:rPr>
          <w:rFonts w:ascii="Calibri" w:hAnsi="Calibri" w:cs="Calibri"/>
          <w:color w:val="000000"/>
          <w:sz w:val="22"/>
          <w:szCs w:val="22"/>
          <w:lang w:val="en-GB"/>
        </w:rPr>
        <w:t>The financing of the Plan is ultimately contingent upon the outcome of the MFF negotiations and how much finance is allocated to social issues (see MFF below). Social housing is a welcome additional objective in the proposed MFF. However, it needs sufficient additional funding if it is not to reduce funding for other priority ‘social’ areas – unfortunately, a likely outcome!</w:t>
      </w:r>
    </w:p>
    <w:p w14:paraId="100C7229" w14:textId="77777777" w:rsidR="00067563" w:rsidRDefault="0070420F">
      <w:pPr>
        <w:spacing w:after="200" w:line="259" w:lineRule="auto"/>
      </w:pPr>
      <w:r>
        <w:rPr>
          <w:rFonts w:ascii="Calibri" w:hAnsi="Calibri" w:cs="Calibri"/>
          <w:color w:val="000000"/>
          <w:sz w:val="22"/>
          <w:szCs w:val="22"/>
          <w:lang w:val="en-GB"/>
        </w:rPr>
        <w:t>The European Youth Forum, while welcoming the initiative, stressed among other points that the Plan must focus on affordable housing, and that such housing must not return to market prices after a few years but remain affordable for young people.</w:t>
      </w:r>
    </w:p>
    <w:p w14:paraId="100C9118" w14:textId="77777777" w:rsidR="00067563" w:rsidRDefault="0070420F">
      <w:pPr>
        <w:spacing w:after="200" w:line="259" w:lineRule="auto"/>
      </w:pPr>
      <w:r>
        <w:rPr>
          <w:rFonts w:ascii="Calibri" w:hAnsi="Calibri" w:cs="Calibri"/>
          <w:color w:val="C00000"/>
          <w:sz w:val="22"/>
          <w:szCs w:val="22"/>
          <w:lang w:val="en-GB"/>
        </w:rPr>
        <w:t>Homelessness:</w:t>
      </w:r>
      <w:r>
        <w:rPr>
          <w:rFonts w:ascii="Calibri" w:hAnsi="Calibri" w:cs="Calibri"/>
          <w:color w:val="000000"/>
          <w:sz w:val="22"/>
          <w:szCs w:val="22"/>
          <w:lang w:val="en-GB"/>
        </w:rPr>
        <w:t xml:space="preserve"> Homelessness is rising, and there is evidence that evictions have increased since the end of the Covid-19 pandemic (FRA, 2025). There are, of course, multiple pathways into homelessness. A complex interplay of structural, institutional, relationship and personal factors often contributes to someone becoming homeless. These factors are often coupled with a specific trigger event, which leads directly to an episode of homelessness.</w:t>
      </w:r>
    </w:p>
    <w:p w14:paraId="100CB007" w14:textId="77777777" w:rsidR="00067563" w:rsidRDefault="0070420F">
      <w:pPr>
        <w:spacing w:after="200" w:line="259" w:lineRule="auto"/>
      </w:pPr>
      <w:r>
        <w:rPr>
          <w:rFonts w:ascii="Calibri" w:hAnsi="Calibri" w:cs="Calibri"/>
          <w:color w:val="000000"/>
          <w:sz w:val="22"/>
          <w:szCs w:val="22"/>
          <w:lang w:val="en-GB"/>
        </w:rPr>
        <w:t>Only a radically different, robust and sustainable policy approach to housing will make any change in this dire situation. The cost of inaction disproportionately affects those on lower incomes, children and young adults, and severely undermines equality, social rights and, ultimately, social cohesion.</w:t>
      </w:r>
    </w:p>
    <w:p w14:paraId="100CCEF6" w14:textId="77777777" w:rsidR="00067563" w:rsidRDefault="0070420F">
      <w:pPr>
        <w:keepNext/>
        <w:spacing w:before="160" w:after="100"/>
      </w:pPr>
      <w:r>
        <w:rPr>
          <w:rFonts w:ascii="Calibri" w:hAnsi="Calibri" w:cs="Calibri"/>
          <w:b/>
          <w:bCs/>
          <w:color w:val="001FD5"/>
          <w:sz w:val="22"/>
          <w:szCs w:val="22"/>
          <w:lang w:val="en-GB"/>
        </w:rPr>
        <w:t>IFSW Europe’s position/recommendations…</w:t>
      </w:r>
    </w:p>
    <w:p w14:paraId="100CEDE5" w14:textId="77777777" w:rsidR="00067563" w:rsidRDefault="0070420F">
      <w:pPr>
        <w:spacing w:after="200" w:line="259" w:lineRule="auto"/>
      </w:pPr>
      <w:r>
        <w:rPr>
          <w:rFonts w:ascii="Calibri" w:hAnsi="Calibri" w:cs="Calibri"/>
          <w:color w:val="000000"/>
          <w:sz w:val="22"/>
          <w:szCs w:val="22"/>
          <w:lang w:val="en-GB"/>
        </w:rPr>
        <w:t>Examples from the Netherlands, Denmark, Spain and Italy demonstrate different approaches to public, social and non-profit housing, while highlighting several common principles.</w:t>
      </w:r>
    </w:p>
    <w:p w14:paraId="100D0CD4" w14:textId="77777777" w:rsidR="00067563" w:rsidRDefault="0070420F">
      <w:pPr>
        <w:spacing w:after="200" w:line="259" w:lineRule="auto"/>
      </w:pPr>
      <w:r>
        <w:rPr>
          <w:rFonts w:ascii="Calibri" w:hAnsi="Calibri" w:cs="Calibri"/>
          <w:color w:val="000000"/>
          <w:sz w:val="22"/>
          <w:szCs w:val="22"/>
          <w:lang w:val="en-GB"/>
        </w:rPr>
        <w:t xml:space="preserve">The </w:t>
      </w:r>
      <w:r>
        <w:rPr>
          <w:rFonts w:ascii="Calibri" w:hAnsi="Calibri" w:cs="Calibri"/>
          <w:b/>
          <w:bCs/>
          <w:color w:val="000000"/>
          <w:sz w:val="22"/>
          <w:szCs w:val="22"/>
          <w:lang w:val="en-GB"/>
        </w:rPr>
        <w:t>Dutch model</w:t>
      </w:r>
      <w:r>
        <w:rPr>
          <w:rFonts w:ascii="Calibri" w:hAnsi="Calibri" w:cs="Calibri"/>
          <w:color w:val="000000"/>
          <w:sz w:val="22"/>
          <w:szCs w:val="22"/>
          <w:lang w:val="en-GB"/>
        </w:rPr>
        <w:t xml:space="preserve"> shows the importance of structured cooperation between municipalities, housing associations and tenants’ organisations. Agreements based on a legal framework address housing availability, affordability, quality, sustainability and liveability. Risk is shared between housing associations, municipalities and, ultimately, the state, providing financial security without necessarily creating direct public expenditure.</w:t>
      </w:r>
    </w:p>
    <w:p w14:paraId="100D2BC3" w14:textId="77777777" w:rsidR="00067563" w:rsidRDefault="0070420F">
      <w:pPr>
        <w:spacing w:after="200" w:line="259" w:lineRule="auto"/>
      </w:pPr>
      <w:r>
        <w:rPr>
          <w:rFonts w:ascii="Calibri" w:hAnsi="Calibri" w:cs="Calibri"/>
          <w:color w:val="000000"/>
          <w:sz w:val="22"/>
          <w:szCs w:val="22"/>
          <w:lang w:val="en-GB"/>
        </w:rPr>
        <w:t xml:space="preserve">The </w:t>
      </w:r>
      <w:r>
        <w:rPr>
          <w:rFonts w:ascii="Calibri" w:hAnsi="Calibri" w:cs="Calibri"/>
          <w:b/>
          <w:bCs/>
          <w:color w:val="000000"/>
          <w:sz w:val="22"/>
          <w:szCs w:val="22"/>
          <w:lang w:val="en-GB"/>
        </w:rPr>
        <w:t>Danish model</w:t>
      </w:r>
      <w:r>
        <w:rPr>
          <w:rFonts w:ascii="Calibri" w:hAnsi="Calibri" w:cs="Calibri"/>
          <w:color w:val="000000"/>
          <w:sz w:val="22"/>
          <w:szCs w:val="22"/>
          <w:lang w:val="en-GB"/>
        </w:rPr>
        <w:t xml:space="preserve"> places particular emphasis on </w:t>
      </w:r>
      <w:r>
        <w:rPr>
          <w:rFonts w:ascii="Calibri" w:hAnsi="Calibri" w:cs="Calibri"/>
          <w:b/>
          <w:bCs/>
          <w:color w:val="000000"/>
          <w:sz w:val="22"/>
          <w:szCs w:val="22"/>
          <w:lang w:val="en-GB"/>
        </w:rPr>
        <w:t>permanence, tenant democracy and collective responsibility</w:t>
      </w:r>
      <w:r>
        <w:rPr>
          <w:rFonts w:ascii="Calibri" w:hAnsi="Calibri" w:cs="Calibri"/>
          <w:color w:val="000000"/>
          <w:sz w:val="22"/>
          <w:szCs w:val="22"/>
          <w:lang w:val="en-GB"/>
        </w:rPr>
        <w:t>. The non-profit housing sector provides homes for around one million people and is supported by mechanisms such as municipal basic capital and the National Building Fund. Resources remain within the sector and are reinvested in housing and neighbourhood development rather than extracted as profit. This creates a long-term perspective and a strong connection to broader welfare-state objectives.</w:t>
      </w:r>
    </w:p>
    <w:p w14:paraId="100D4AB2" w14:textId="77777777" w:rsidR="00067563" w:rsidRDefault="0070420F">
      <w:pPr>
        <w:spacing w:after="200" w:line="259" w:lineRule="auto"/>
      </w:pPr>
      <w:r>
        <w:rPr>
          <w:rFonts w:ascii="Calibri" w:hAnsi="Calibri" w:cs="Calibri"/>
          <w:color w:val="000000"/>
          <w:sz w:val="22"/>
          <w:szCs w:val="22"/>
          <w:lang w:val="en-GB"/>
        </w:rPr>
        <w:t xml:space="preserve">The examples from </w:t>
      </w:r>
      <w:r>
        <w:rPr>
          <w:rFonts w:ascii="Calibri" w:hAnsi="Calibri" w:cs="Calibri"/>
          <w:b/>
          <w:bCs/>
          <w:color w:val="000000"/>
          <w:sz w:val="22"/>
          <w:szCs w:val="22"/>
          <w:lang w:val="en-GB"/>
        </w:rPr>
        <w:t>Spain and Italy</w:t>
      </w:r>
      <w:r>
        <w:rPr>
          <w:rFonts w:ascii="Calibri" w:hAnsi="Calibri" w:cs="Calibri"/>
          <w:color w:val="000000"/>
          <w:sz w:val="22"/>
          <w:szCs w:val="22"/>
          <w:lang w:val="en-GB"/>
        </w:rPr>
        <w:t xml:space="preserve"> underline the importance of active, long-term housing management, including addressing anti-social behaviour, maintaining community cohesion and preparing for climate-related risks.</w:t>
      </w:r>
    </w:p>
    <w:p w14:paraId="100D69A1" w14:textId="77777777" w:rsidR="00067563" w:rsidRDefault="0070420F">
      <w:pPr>
        <w:spacing w:after="200" w:line="259" w:lineRule="auto"/>
      </w:pPr>
      <w:r>
        <w:rPr>
          <w:rFonts w:ascii="Calibri" w:hAnsi="Calibri" w:cs="Calibri"/>
          <w:color w:val="000000"/>
          <w:sz w:val="22"/>
          <w:szCs w:val="22"/>
          <w:lang w:val="en-GB"/>
        </w:rPr>
        <w:lastRenderedPageBreak/>
        <w:t xml:space="preserve">Overall, the examples suggest that effective public–private and social housing partnerships depend not only on construction and financial efficiency, but also on </w:t>
      </w:r>
      <w:r>
        <w:rPr>
          <w:rFonts w:ascii="Calibri" w:hAnsi="Calibri" w:cs="Calibri"/>
          <w:b/>
          <w:bCs/>
          <w:color w:val="000000"/>
          <w:sz w:val="22"/>
          <w:szCs w:val="22"/>
          <w:lang w:val="en-GB"/>
        </w:rPr>
        <w:t>shared responsibility, risk-sharing, tenant participation, long-term investment and accountability</w:t>
      </w:r>
      <w:r>
        <w:rPr>
          <w:rFonts w:ascii="Calibri" w:hAnsi="Calibri" w:cs="Calibri"/>
          <w:color w:val="000000"/>
          <w:sz w:val="22"/>
          <w:szCs w:val="22"/>
          <w:lang w:val="en-GB"/>
        </w:rPr>
        <w:t>. A key question is therefore who carries the risks, who retains the value, how tenants exercise influence, and who remains responsible over the long term.</w:t>
      </w:r>
    </w:p>
    <w:p w14:paraId="100D8890" w14:textId="77777777" w:rsidR="00067563" w:rsidRDefault="0070420F">
      <w:pPr>
        <w:spacing w:after="200" w:line="259" w:lineRule="auto"/>
      </w:pPr>
      <w:r>
        <w:rPr>
          <w:rFonts w:ascii="Calibri" w:hAnsi="Calibri" w:cs="Calibri"/>
          <w:color w:val="000000"/>
          <w:sz w:val="22"/>
          <w:szCs w:val="22"/>
          <w:lang w:val="en-GB"/>
        </w:rPr>
        <w:t>The European Commission should support Member States in scaling up evidence-based Housing First through strong municipal partnerships. Effective implementation requires close cooperation between local authorities, housing providers and support services to ensure access to affordable housing and sustained, person-centred support. In particular, the Commission should:</w:t>
      </w:r>
    </w:p>
    <w:p w14:paraId="100DA77F" w14:textId="77777777" w:rsidR="00067563" w:rsidRDefault="0070420F">
      <w:pPr>
        <w:spacing w:after="200" w:line="259" w:lineRule="auto"/>
      </w:pPr>
      <w:r>
        <w:rPr>
          <w:rFonts w:ascii="Calibri" w:hAnsi="Calibri" w:cs="Calibri"/>
          <w:color w:val="000000"/>
          <w:sz w:val="22"/>
          <w:szCs w:val="22"/>
          <w:lang w:val="en-GB"/>
        </w:rPr>
        <w:t xml:space="preserve">a. </w:t>
      </w:r>
      <w:r>
        <w:rPr>
          <w:rFonts w:ascii="Calibri" w:hAnsi="Calibri" w:cs="Calibri"/>
          <w:b/>
          <w:bCs/>
          <w:color w:val="000000"/>
          <w:sz w:val="22"/>
          <w:szCs w:val="22"/>
          <w:lang w:val="en-GB"/>
        </w:rPr>
        <w:t>Strengthen municipal organisational capacity:</w:t>
      </w:r>
      <w:r>
        <w:rPr>
          <w:rFonts w:ascii="Calibri" w:hAnsi="Calibri" w:cs="Calibri"/>
          <w:color w:val="000000"/>
          <w:sz w:val="22"/>
          <w:szCs w:val="22"/>
          <w:lang w:val="en-GB"/>
        </w:rPr>
        <w:t xml:space="preserve"> Support Member States in ensuring that municipalities adopt a structured approach to implementing Housing First, including clear operational frameworks, defined responsibilities and effective inter-agency cooperation.</w:t>
      </w:r>
    </w:p>
    <w:p w14:paraId="100DC66E" w14:textId="77777777" w:rsidR="00067563" w:rsidRDefault="0070420F">
      <w:pPr>
        <w:spacing w:after="200" w:line="259" w:lineRule="auto"/>
      </w:pPr>
      <w:r>
        <w:rPr>
          <w:rFonts w:ascii="Calibri" w:hAnsi="Calibri" w:cs="Calibri"/>
          <w:color w:val="000000"/>
          <w:sz w:val="22"/>
          <w:szCs w:val="22"/>
          <w:lang w:val="en-GB"/>
        </w:rPr>
        <w:t xml:space="preserve">b. </w:t>
      </w:r>
      <w:r>
        <w:rPr>
          <w:rFonts w:ascii="Calibri" w:hAnsi="Calibri" w:cs="Calibri"/>
          <w:b/>
          <w:bCs/>
          <w:color w:val="000000"/>
          <w:sz w:val="22"/>
          <w:szCs w:val="22"/>
          <w:lang w:val="en-GB"/>
        </w:rPr>
        <w:t>Increase the supply of affordable housing:</w:t>
      </w:r>
      <w:r>
        <w:rPr>
          <w:rFonts w:ascii="Calibri" w:hAnsi="Calibri" w:cs="Calibri"/>
          <w:color w:val="000000"/>
          <w:sz w:val="22"/>
          <w:szCs w:val="22"/>
          <w:lang w:val="en-GB"/>
        </w:rPr>
        <w:t xml:space="preserve"> Support Member States in addressing the shortage of affordable housing, including through targeted EU funding for the development, acquisition and renovation of affordable housing units, with measurable targets for increasing the supply of affordable homes available to people experiencing homelessness and housing exclusion.</w:t>
      </w:r>
    </w:p>
    <w:p w14:paraId="100DE55D" w14:textId="77777777" w:rsidR="00067563" w:rsidRDefault="0070420F">
      <w:pPr>
        <w:spacing w:after="200" w:line="259" w:lineRule="auto"/>
      </w:pPr>
      <w:r>
        <w:rPr>
          <w:rFonts w:ascii="Calibri" w:hAnsi="Calibri" w:cs="Calibri"/>
          <w:color w:val="000000"/>
          <w:sz w:val="22"/>
          <w:szCs w:val="22"/>
          <w:lang w:val="en-GB"/>
        </w:rPr>
        <w:t xml:space="preserve">c. </w:t>
      </w:r>
      <w:r>
        <w:rPr>
          <w:rFonts w:ascii="Calibri" w:hAnsi="Calibri" w:cs="Calibri"/>
          <w:b/>
          <w:bCs/>
          <w:color w:val="000000"/>
          <w:sz w:val="22"/>
          <w:szCs w:val="22"/>
          <w:lang w:val="en-GB"/>
        </w:rPr>
        <w:t>Strengthen housing-provider partnerships:</w:t>
      </w:r>
      <w:r>
        <w:rPr>
          <w:rFonts w:ascii="Calibri" w:hAnsi="Calibri" w:cs="Calibri"/>
          <w:color w:val="000000"/>
          <w:sz w:val="22"/>
          <w:szCs w:val="22"/>
          <w:lang w:val="en-GB"/>
        </w:rPr>
        <w:t xml:space="preserve"> Promote long-term partnerships between municipalities and public, social and non-profit housing providers, with clear agreements on housing availability, allocation, tenancy support and long-term housing stability.</w:t>
      </w:r>
    </w:p>
    <w:p w14:paraId="100E044C" w14:textId="77777777" w:rsidR="00067563" w:rsidRDefault="0070420F">
      <w:pPr>
        <w:spacing w:after="200" w:line="259" w:lineRule="auto"/>
      </w:pPr>
      <w:r>
        <w:rPr>
          <w:rFonts w:ascii="Calibri" w:hAnsi="Calibri" w:cs="Calibri"/>
          <w:color w:val="000000"/>
          <w:sz w:val="22"/>
          <w:szCs w:val="22"/>
          <w:lang w:val="en-GB"/>
        </w:rPr>
        <w:t xml:space="preserve">d. </w:t>
      </w:r>
      <w:r>
        <w:rPr>
          <w:rFonts w:ascii="Calibri" w:hAnsi="Calibri" w:cs="Calibri"/>
          <w:b/>
          <w:bCs/>
          <w:color w:val="000000"/>
          <w:sz w:val="22"/>
          <w:szCs w:val="22"/>
          <w:lang w:val="en-GB"/>
        </w:rPr>
        <w:t>Establish monitoring, shared learning and outcome-based funding:</w:t>
      </w:r>
      <w:r>
        <w:rPr>
          <w:rFonts w:ascii="Calibri" w:hAnsi="Calibri" w:cs="Calibri"/>
          <w:color w:val="000000"/>
          <w:sz w:val="22"/>
          <w:szCs w:val="22"/>
          <w:lang w:val="en-GB"/>
        </w:rPr>
        <w:t xml:space="preserve"> Support national and regional partnerships that enable continuous monitoring, evaluation and shared learning on Housing First, with Member States reporting regularly on implementation, outcomes and identified barriers. EU funding for homelessness and housing inclusion should be linked to measurable outcomes (see MFF below), using indicators such as the number of municipalities implementing Housing First in line with agreed quality principles, access to permanent housing and support services, housing retention, the duration of homelessness and returns to homelessness. People with lived experience should be involved in the design and evaluation of Housing First programmes.</w:t>
      </w:r>
    </w:p>
    <w:p w14:paraId="100E233B" w14:textId="77777777" w:rsidR="00067563" w:rsidRDefault="0070420F">
      <w:pPr>
        <w:spacing w:before="120" w:after="240"/>
      </w:pPr>
      <w:r>
        <w:rPr>
          <w:rFonts w:ascii="Calibri" w:hAnsi="Calibri" w:cs="Calibri"/>
          <w:color w:val="000000"/>
          <w:sz w:val="22"/>
          <w:szCs w:val="22"/>
          <w:lang w:val="en-GB"/>
        </w:rPr>
        <w:t>______________________________________</w:t>
      </w:r>
    </w:p>
    <w:p w14:paraId="100E422A" w14:textId="77777777" w:rsidR="00067563" w:rsidRDefault="0070420F">
      <w:pPr>
        <w:keepNext/>
        <w:spacing w:before="120" w:after="100"/>
      </w:pPr>
      <w:r>
        <w:rPr>
          <w:rFonts w:ascii="Calibri" w:hAnsi="Calibri" w:cs="Calibri"/>
          <w:b/>
          <w:bCs/>
          <w:color w:val="C00000"/>
          <w:lang w:val="en-GB"/>
        </w:rPr>
        <w:t>Multiannual Financial Framework (MFF) 2028–2034: Funding the Package</w:t>
      </w:r>
    </w:p>
    <w:p w14:paraId="100E6119" w14:textId="77777777" w:rsidR="00067563" w:rsidRDefault="0070420F">
      <w:pPr>
        <w:spacing w:after="200" w:line="259" w:lineRule="auto"/>
      </w:pPr>
      <w:r>
        <w:rPr>
          <w:rFonts w:ascii="Calibri" w:hAnsi="Calibri" w:cs="Calibri"/>
          <w:color w:val="000000"/>
          <w:sz w:val="22"/>
          <w:szCs w:val="22"/>
          <w:lang w:val="en-GB"/>
        </w:rPr>
        <w:t>The MFF is the EU budget, which spans a seven-year period. The budget for the next period (2028–2034) is now being prepared, with the aim of reaching a final political agreement on its content by the end of 2026. The discussions involving the Commission, the European Parliament and the Member States revolve not only around the size of the budget, but also around what it should be spent on.</w:t>
      </w:r>
    </w:p>
    <w:p w14:paraId="100E8008" w14:textId="77777777" w:rsidR="00067563" w:rsidRDefault="0070420F">
      <w:pPr>
        <w:spacing w:after="200" w:line="259" w:lineRule="auto"/>
      </w:pPr>
      <w:r>
        <w:rPr>
          <w:rFonts w:ascii="Calibri" w:hAnsi="Calibri" w:cs="Calibri"/>
          <w:color w:val="000000"/>
          <w:sz w:val="22"/>
          <w:szCs w:val="22"/>
          <w:lang w:val="en-GB"/>
        </w:rPr>
        <w:t xml:space="preserve">As we are experiencing, the continuing geopolitical crises have created great economic, financial and political uncertainty across Europe. As of June 2026, no agreement had been reached on the size of the overall budget, with Member States divided into two camps: one arguing for a reduction and the other for no reduction. The agenda items include defence (including support for Ukraine), competitiveness (a new </w:t>
      </w:r>
      <w:r>
        <w:rPr>
          <w:rFonts w:ascii="Calibri" w:hAnsi="Calibri" w:cs="Calibri"/>
          <w:i/>
          <w:iCs/>
          <w:color w:val="000000"/>
          <w:sz w:val="22"/>
          <w:szCs w:val="22"/>
          <w:lang w:val="en-GB"/>
        </w:rPr>
        <w:t>European Competitiveness Fund</w:t>
      </w:r>
      <w:r>
        <w:rPr>
          <w:rFonts w:ascii="Calibri" w:hAnsi="Calibri" w:cs="Calibri"/>
          <w:color w:val="000000"/>
          <w:sz w:val="22"/>
          <w:szCs w:val="22"/>
          <w:lang w:val="en-GB"/>
        </w:rPr>
        <w:t>), cohesion reform, energy security and migration. The emphasis on a reduction in social spending in the next MFF does not augur well for success in achieving the essential goals of eliminating poverty and social exclusion.</w:t>
      </w:r>
    </w:p>
    <w:p w14:paraId="100E9EF7" w14:textId="77777777" w:rsidR="00067563" w:rsidRDefault="0070420F">
      <w:pPr>
        <w:spacing w:after="200" w:line="259" w:lineRule="auto"/>
      </w:pPr>
      <w:r>
        <w:rPr>
          <w:rFonts w:ascii="Calibri" w:hAnsi="Calibri" w:cs="Calibri"/>
          <w:b/>
          <w:bCs/>
          <w:color w:val="000000"/>
          <w:sz w:val="22"/>
          <w:szCs w:val="22"/>
          <w:lang w:val="en-GB"/>
        </w:rPr>
        <w:lastRenderedPageBreak/>
        <w:t>The European Social Fund Plus (ESF+):</w:t>
      </w:r>
      <w:r>
        <w:rPr>
          <w:rFonts w:ascii="Calibri" w:hAnsi="Calibri" w:cs="Calibri"/>
          <w:color w:val="000000"/>
          <w:sz w:val="22"/>
          <w:szCs w:val="22"/>
          <w:lang w:val="en-GB"/>
        </w:rPr>
        <w:t xml:space="preserve"> Despite the proposal in the new MFF to merge this fund with other EU funds (in effect, reducing dedicated funding), the European Parliament’s Committee on Employment and Social Affairs (EMPL) is committed, according to its own statements, to maintaining the fund as an independent programme with sufficient resources to meet its goals. This is of vital importance to ensure continued spending on social objectives and the necessary dedicated support for the most vulnerable groups across Europe.</w:t>
      </w:r>
    </w:p>
    <w:p w14:paraId="100EBDE6" w14:textId="340AEBF8" w:rsidR="00067563" w:rsidRDefault="0070420F">
      <w:pPr>
        <w:spacing w:after="200" w:line="259" w:lineRule="auto"/>
      </w:pPr>
      <w:r>
        <w:rPr>
          <w:rFonts w:ascii="Calibri" w:hAnsi="Calibri" w:cs="Calibri"/>
          <w:color w:val="000000"/>
          <w:sz w:val="22"/>
          <w:szCs w:val="22"/>
          <w:lang w:val="en-GB"/>
        </w:rPr>
        <w:t xml:space="preserve">Social Platform, of which IFSW Europe is a member organisation, has called for an increased budget exceeding €2 trillion to support long-term social investment and other measures over the period of the new MFF </w:t>
      </w:r>
      <w:r w:rsidR="00834AB9" w:rsidRPr="00834AB9">
        <w:rPr>
          <w:rFonts w:ascii="Calibri" w:hAnsi="Calibri" w:cs="Calibri"/>
          <w:color w:val="000000"/>
          <w:sz w:val="22"/>
          <w:szCs w:val="22"/>
          <w:lang w:val="en-GB"/>
        </w:rPr>
        <w:t>(Social Platform, 2025:3).</w:t>
      </w:r>
    </w:p>
    <w:p w14:paraId="100EDCD5" w14:textId="77777777" w:rsidR="00067563" w:rsidRDefault="0070420F">
      <w:pPr>
        <w:keepNext/>
        <w:spacing w:before="160" w:after="100"/>
      </w:pPr>
      <w:r>
        <w:rPr>
          <w:rFonts w:ascii="Calibri" w:hAnsi="Calibri" w:cs="Calibri"/>
          <w:b/>
          <w:bCs/>
          <w:color w:val="001FD5"/>
          <w:sz w:val="22"/>
          <w:szCs w:val="22"/>
          <w:lang w:val="en-GB"/>
        </w:rPr>
        <w:t>IFSW Europe’s position/recommendations…</w:t>
      </w:r>
    </w:p>
    <w:p w14:paraId="100EFBC4" w14:textId="77777777" w:rsidR="00067563" w:rsidRDefault="0070420F">
      <w:pPr>
        <w:spacing w:after="200" w:line="259" w:lineRule="auto"/>
      </w:pPr>
      <w:r>
        <w:rPr>
          <w:rFonts w:ascii="Calibri" w:hAnsi="Calibri" w:cs="Calibri"/>
          <w:color w:val="000000"/>
          <w:sz w:val="22"/>
          <w:szCs w:val="22"/>
          <w:lang w:val="en-GB"/>
        </w:rPr>
        <w:t>Adequate and targeted funding is essential if the EU’s ambition to eradicate poverty is to become a reality. The next MFF must therefore place the protection of social rights and poverty reduction at its core.</w:t>
      </w:r>
    </w:p>
    <w:p w14:paraId="100F1AB3" w14:textId="77777777" w:rsidR="00067563" w:rsidRDefault="0070420F">
      <w:pPr>
        <w:spacing w:after="200" w:line="259" w:lineRule="auto"/>
      </w:pPr>
      <w:r>
        <w:rPr>
          <w:rFonts w:ascii="Calibri" w:hAnsi="Calibri" w:cs="Calibri"/>
          <w:color w:val="000000"/>
          <w:sz w:val="22"/>
          <w:szCs w:val="22"/>
          <w:lang w:val="en-GB"/>
        </w:rPr>
        <w:t>The EU Anti-Poverty Strategy and the 2026–2030 Action Plan for the European Pillar of Social Rights will have limited impact unless they are backed by clearly defined budget lines and sufficient financial resources. With the next MFF covering the final years before the Porto target date, it must provide the resources necessary to accelerate progress towards that target.</w:t>
      </w:r>
    </w:p>
    <w:p w14:paraId="100F39A2" w14:textId="77777777" w:rsidR="00067563" w:rsidRDefault="0070420F">
      <w:pPr>
        <w:spacing w:after="200" w:line="259" w:lineRule="auto"/>
      </w:pPr>
      <w:r>
        <w:rPr>
          <w:rFonts w:ascii="Calibri" w:hAnsi="Calibri" w:cs="Calibri"/>
          <w:color w:val="000000"/>
          <w:sz w:val="22"/>
          <w:szCs w:val="22"/>
          <w:lang w:val="en-GB"/>
        </w:rPr>
        <w:t>EU funding must also strengthen national and local civil society organisations working directly with people experiencing poverty and severe social exclusion. Their contribution is essential and requires stable and accessible funding.</w:t>
      </w:r>
    </w:p>
    <w:p w14:paraId="100F5891" w14:textId="77777777" w:rsidR="00067563" w:rsidRDefault="0070420F">
      <w:pPr>
        <w:spacing w:after="200" w:line="259" w:lineRule="auto"/>
      </w:pPr>
      <w:r>
        <w:rPr>
          <w:rFonts w:ascii="Calibri" w:hAnsi="Calibri" w:cs="Calibri"/>
          <w:color w:val="000000"/>
          <w:sz w:val="22"/>
          <w:szCs w:val="22"/>
          <w:lang w:val="en-GB"/>
        </w:rPr>
        <w:t xml:space="preserve">Across all elements of the Social Package, EU funding should be linked to clear objectives and measurable social outcomes – such as those proposed above for housing and disability – so that the MFF delivers </w:t>
      </w:r>
      <w:r>
        <w:rPr>
          <w:rFonts w:ascii="Calibri" w:hAnsi="Calibri" w:cs="Calibri"/>
          <w:b/>
          <w:bCs/>
          <w:color w:val="000000"/>
          <w:sz w:val="22"/>
          <w:szCs w:val="22"/>
          <w:lang w:val="en-GB"/>
        </w:rPr>
        <w:t>adequate, targeted and sustainable investment in social rights, poverty reduction and civil society</w:t>
      </w:r>
      <w:r>
        <w:rPr>
          <w:rFonts w:ascii="Calibri" w:hAnsi="Calibri" w:cs="Calibri"/>
          <w:color w:val="000000"/>
          <w:sz w:val="22"/>
          <w:szCs w:val="22"/>
          <w:lang w:val="en-GB"/>
        </w:rPr>
        <w:t>, enabling EU commitments to translate into concrete improvements in people’s lives.</w:t>
      </w:r>
    </w:p>
    <w:p w14:paraId="100F7780" w14:textId="77777777" w:rsidR="00067563" w:rsidRDefault="0070420F">
      <w:pPr>
        <w:spacing w:before="120" w:after="240"/>
      </w:pPr>
      <w:r>
        <w:rPr>
          <w:rFonts w:ascii="Calibri" w:hAnsi="Calibri" w:cs="Calibri"/>
          <w:color w:val="000000"/>
          <w:sz w:val="22"/>
          <w:szCs w:val="22"/>
          <w:lang w:val="en-GB"/>
        </w:rPr>
        <w:t>______________________________________</w:t>
      </w:r>
    </w:p>
    <w:p w14:paraId="100F966F" w14:textId="77777777" w:rsidR="00067563" w:rsidRDefault="0070420F">
      <w:pPr>
        <w:keepNext/>
        <w:spacing w:before="120" w:after="100"/>
      </w:pPr>
      <w:r>
        <w:rPr>
          <w:rFonts w:ascii="Calibri" w:hAnsi="Calibri" w:cs="Calibri"/>
          <w:b/>
          <w:bCs/>
          <w:color w:val="C00000"/>
          <w:lang w:val="en-GB"/>
        </w:rPr>
        <w:t>Final Recommendations from a Social Work Perspective</w:t>
      </w:r>
    </w:p>
    <w:p w14:paraId="100FB55E" w14:textId="77777777" w:rsidR="00067563" w:rsidRDefault="0070420F">
      <w:pPr>
        <w:spacing w:after="200" w:line="259" w:lineRule="auto"/>
      </w:pPr>
      <w:r>
        <w:rPr>
          <w:rFonts w:ascii="Calibri" w:hAnsi="Calibri" w:cs="Calibri"/>
          <w:color w:val="000000"/>
          <w:sz w:val="22"/>
          <w:szCs w:val="22"/>
          <w:lang w:val="en-GB"/>
        </w:rPr>
        <w:t>The workforce of social services, particularly social workers, plays an essential role in supporting individuals and families facing complex challenges such as poverty, housing instability, mental health issues and social exclusion. Social workers are often the first point of contact for those in need: they identify early signs of vulnerability, provide person-centred support and help build long-term pathways out of poverty. Ensuring that social workers are part of a stable and well-resourced workforce, recognised as integral to the EU’s social infrastructure, is vital to delivering consistent, quality services across the European Union.</w:t>
      </w:r>
    </w:p>
    <w:p w14:paraId="100FD44D" w14:textId="77777777" w:rsidR="00067563" w:rsidRDefault="0070420F">
      <w:pPr>
        <w:spacing w:after="200" w:line="259" w:lineRule="auto"/>
      </w:pPr>
      <w:r>
        <w:rPr>
          <w:rFonts w:ascii="Calibri" w:hAnsi="Calibri" w:cs="Calibri"/>
          <w:b/>
          <w:bCs/>
          <w:color w:val="C00000"/>
          <w:sz w:val="22"/>
          <w:szCs w:val="22"/>
          <w:lang w:val="en-GB"/>
        </w:rPr>
        <w:t>Recommendations:</w:t>
      </w:r>
      <w:r>
        <w:rPr>
          <w:rFonts w:ascii="Calibri" w:hAnsi="Calibri" w:cs="Calibri"/>
          <w:color w:val="000000"/>
          <w:sz w:val="22"/>
          <w:szCs w:val="22"/>
          <w:lang w:val="en-GB"/>
        </w:rPr>
        <w:t xml:space="preserve"> The European Commission should prioritise the development and stabilisation of the social services workforce as a core strategy for addressing poverty and promoting social inclusion through six key measures:</w:t>
      </w:r>
    </w:p>
    <w:p w14:paraId="100FF33C" w14:textId="77777777" w:rsidR="00067563" w:rsidRDefault="0070420F">
      <w:pPr>
        <w:spacing w:after="200" w:line="259" w:lineRule="auto"/>
      </w:pPr>
      <w:r>
        <w:rPr>
          <w:rFonts w:ascii="Calibri" w:hAnsi="Calibri" w:cs="Calibri"/>
          <w:b/>
          <w:bCs/>
          <w:color w:val="000000"/>
          <w:sz w:val="22"/>
          <w:szCs w:val="22"/>
          <w:lang w:val="en-GB"/>
        </w:rPr>
        <w:t>Invest in Specialised Training:</w:t>
      </w:r>
      <w:r>
        <w:rPr>
          <w:rFonts w:ascii="Calibri" w:hAnsi="Calibri" w:cs="Calibri"/>
          <w:color w:val="000000"/>
          <w:sz w:val="22"/>
          <w:szCs w:val="22"/>
          <w:lang w:val="en-GB"/>
        </w:rPr>
        <w:t xml:space="preserve"> The Commission should support Member States in investing in professional standards and training programmes that provide social workers with the skills necessary to address the diverse and complex challenges of poverty, including mental health, housing instability and social exclusion.</w:t>
      </w:r>
    </w:p>
    <w:p w14:paraId="1010122B" w14:textId="77777777" w:rsidR="00067563" w:rsidRDefault="0070420F">
      <w:pPr>
        <w:spacing w:after="200" w:line="259" w:lineRule="auto"/>
      </w:pPr>
      <w:r>
        <w:rPr>
          <w:rFonts w:ascii="Calibri" w:hAnsi="Calibri" w:cs="Calibri"/>
          <w:b/>
          <w:bCs/>
          <w:color w:val="000000"/>
          <w:sz w:val="22"/>
          <w:szCs w:val="22"/>
          <w:lang w:val="en-GB"/>
        </w:rPr>
        <w:lastRenderedPageBreak/>
        <w:t>Strengthen Frontline Capacity:</w:t>
      </w:r>
      <w:r>
        <w:rPr>
          <w:rFonts w:ascii="Calibri" w:hAnsi="Calibri" w:cs="Calibri"/>
          <w:color w:val="000000"/>
          <w:sz w:val="22"/>
          <w:szCs w:val="22"/>
          <w:lang w:val="en-GB"/>
        </w:rPr>
        <w:t xml:space="preserve"> The Commission should encourage Member States to expand frontline staff, specifically social workers, to ensure adequate human resources for continuous and effective social accompaniment.</w:t>
      </w:r>
    </w:p>
    <w:p w14:paraId="1010311A" w14:textId="77777777" w:rsidR="00067563" w:rsidRDefault="0070420F">
      <w:pPr>
        <w:spacing w:after="200" w:line="259" w:lineRule="auto"/>
      </w:pPr>
      <w:r>
        <w:rPr>
          <w:rFonts w:ascii="Calibri" w:hAnsi="Calibri" w:cs="Calibri"/>
          <w:b/>
          <w:bCs/>
          <w:color w:val="000000"/>
          <w:sz w:val="22"/>
          <w:szCs w:val="22"/>
          <w:lang w:val="en-GB"/>
        </w:rPr>
        <w:t>Improve Working Conditions:</w:t>
      </w:r>
      <w:r>
        <w:rPr>
          <w:rFonts w:ascii="Calibri" w:hAnsi="Calibri" w:cs="Calibri"/>
          <w:color w:val="000000"/>
          <w:sz w:val="22"/>
          <w:szCs w:val="22"/>
          <w:lang w:val="en-GB"/>
        </w:rPr>
        <w:t xml:space="preserve"> The Commission should encourage Member States to establish fair remuneration policies, manageable caseloads and continuous professional development opportunities, so that social workers are highly skilled, well-supported and given the resources they need to work at their best.</w:t>
      </w:r>
    </w:p>
    <w:p w14:paraId="10105009" w14:textId="77777777" w:rsidR="00067563" w:rsidRDefault="0070420F">
      <w:pPr>
        <w:spacing w:after="200" w:line="259" w:lineRule="auto"/>
      </w:pPr>
      <w:r>
        <w:rPr>
          <w:rFonts w:ascii="Calibri" w:hAnsi="Calibri" w:cs="Calibri"/>
          <w:b/>
          <w:bCs/>
          <w:color w:val="000000"/>
          <w:sz w:val="22"/>
          <w:szCs w:val="22"/>
          <w:lang w:val="en-GB"/>
        </w:rPr>
        <w:t>Facilitate Knowledge Exchange:</w:t>
      </w:r>
      <w:r>
        <w:rPr>
          <w:rFonts w:ascii="Calibri" w:hAnsi="Calibri" w:cs="Calibri"/>
          <w:color w:val="000000"/>
          <w:sz w:val="22"/>
          <w:szCs w:val="22"/>
          <w:lang w:val="en-GB"/>
        </w:rPr>
        <w:t xml:space="preserve"> The Commission should facilitate cross-border knowledge exchange to share best practices and innovative approaches for supporting the social services workforce.</w:t>
      </w:r>
    </w:p>
    <w:p w14:paraId="10106EF8" w14:textId="77777777" w:rsidR="00067563" w:rsidRDefault="0070420F">
      <w:pPr>
        <w:spacing w:after="200" w:line="259" w:lineRule="auto"/>
      </w:pPr>
      <w:r>
        <w:rPr>
          <w:rFonts w:ascii="Calibri" w:hAnsi="Calibri" w:cs="Calibri"/>
          <w:b/>
          <w:bCs/>
          <w:color w:val="000000"/>
          <w:sz w:val="22"/>
          <w:szCs w:val="22"/>
          <w:lang w:val="en-GB"/>
        </w:rPr>
        <w:t>Integrate Multi-Disciplinary Models:</w:t>
      </w:r>
      <w:r>
        <w:rPr>
          <w:rFonts w:ascii="Calibri" w:hAnsi="Calibri" w:cs="Calibri"/>
          <w:color w:val="000000"/>
          <w:sz w:val="22"/>
          <w:szCs w:val="22"/>
          <w:lang w:val="en-GB"/>
        </w:rPr>
        <w:t xml:space="preserve"> The Commission should ensure that social workers are integrated into multi-disciplinary teams and responsive service delivery models that promote collaboration with other professionals. This holistic approach will strengthen the effectiveness of interventions in addressing the underlying causes of poverty and enhance long-term resilience across the European Union.</w:t>
      </w:r>
    </w:p>
    <w:p w14:paraId="10108DE7" w14:textId="77777777" w:rsidR="00067563" w:rsidRDefault="0070420F">
      <w:pPr>
        <w:spacing w:after="200" w:line="259" w:lineRule="auto"/>
      </w:pPr>
      <w:r>
        <w:rPr>
          <w:rFonts w:ascii="Calibri" w:hAnsi="Calibri" w:cs="Calibri"/>
          <w:b/>
          <w:bCs/>
          <w:color w:val="000000"/>
          <w:sz w:val="22"/>
          <w:szCs w:val="22"/>
          <w:lang w:val="en-GB"/>
        </w:rPr>
        <w:t>Promote Differentiated Interventions:</w:t>
      </w:r>
      <w:r>
        <w:rPr>
          <w:rFonts w:ascii="Calibri" w:hAnsi="Calibri" w:cs="Calibri"/>
          <w:color w:val="000000"/>
          <w:sz w:val="22"/>
          <w:szCs w:val="22"/>
          <w:lang w:val="en-GB"/>
        </w:rPr>
        <w:t xml:space="preserve"> The Commission should support Member States in moving beyond rigid standardisation in anti-poverty measures, helping policy frameworks foster personalised, context-specific support tailored to the needs of vulnerable families.</w:t>
      </w:r>
    </w:p>
    <w:p w14:paraId="1010ACD6" w14:textId="77777777" w:rsidR="00067563" w:rsidRDefault="0070420F">
      <w:pPr>
        <w:spacing w:after="200" w:line="259" w:lineRule="auto"/>
      </w:pPr>
      <w:r>
        <w:rPr>
          <w:rFonts w:ascii="Calibri" w:hAnsi="Calibri" w:cs="Calibri"/>
          <w:b/>
          <w:bCs/>
          <w:color w:val="000000"/>
          <w:sz w:val="22"/>
          <w:szCs w:val="22"/>
          <w:lang w:val="en-GB"/>
        </w:rPr>
        <w:t>IFSW Europe calls on its member organisations to:</w:t>
      </w:r>
    </w:p>
    <w:p w14:paraId="1010CBC5" w14:textId="77777777" w:rsidR="00067563" w:rsidRDefault="0070420F">
      <w:pPr>
        <w:pStyle w:val="ListParagraph"/>
        <w:numPr>
          <w:ilvl w:val="0"/>
          <w:numId w:val="1"/>
        </w:numPr>
        <w:spacing w:after="40" w:line="259" w:lineRule="auto"/>
      </w:pPr>
      <w:r>
        <w:rPr>
          <w:rFonts w:ascii="Calibri" w:hAnsi="Calibri" w:cs="Calibri"/>
          <w:color w:val="000000"/>
          <w:sz w:val="22"/>
          <w:szCs w:val="22"/>
          <w:lang w:val="en-GB"/>
        </w:rPr>
        <w:t>build strong partnerships with other organisations and civil society actors;</w:t>
      </w:r>
    </w:p>
    <w:p w14:paraId="1010EAB4" w14:textId="77777777" w:rsidR="00067563" w:rsidRDefault="0070420F">
      <w:pPr>
        <w:pStyle w:val="ListParagraph"/>
        <w:numPr>
          <w:ilvl w:val="0"/>
          <w:numId w:val="1"/>
        </w:numPr>
        <w:spacing w:after="40" w:line="259" w:lineRule="auto"/>
      </w:pPr>
      <w:r>
        <w:rPr>
          <w:rFonts w:ascii="Calibri" w:hAnsi="Calibri" w:cs="Calibri"/>
          <w:color w:val="000000"/>
          <w:sz w:val="22"/>
          <w:szCs w:val="22"/>
          <w:lang w:val="en-GB"/>
        </w:rPr>
        <w:t>engage actively in national policy processes implementing the European Pillar of Social Rights, the Anti-Poverty Strategy and the Child Guarantee;</w:t>
      </w:r>
    </w:p>
    <w:p w14:paraId="101109A3" w14:textId="77777777" w:rsidR="00067563" w:rsidRDefault="0070420F">
      <w:pPr>
        <w:pStyle w:val="ListParagraph"/>
        <w:numPr>
          <w:ilvl w:val="0"/>
          <w:numId w:val="1"/>
        </w:numPr>
        <w:spacing w:after="200" w:line="259" w:lineRule="auto"/>
      </w:pPr>
      <w:r>
        <w:rPr>
          <w:rFonts w:ascii="Calibri" w:hAnsi="Calibri" w:cs="Calibri"/>
          <w:color w:val="000000"/>
          <w:sz w:val="22"/>
          <w:szCs w:val="22"/>
          <w:lang w:val="en-GB"/>
        </w:rPr>
        <w:t>engage actively in national decision-making on the allocation and implementation of EU funds, ensuring that these resources contribute effectively to reducing poverty, promoting social rights and strengthening social services.</w:t>
      </w:r>
    </w:p>
    <w:p w14:paraId="10112892" w14:textId="77777777" w:rsidR="00067563" w:rsidRDefault="0070420F">
      <w:pPr>
        <w:spacing w:after="200" w:line="259" w:lineRule="auto"/>
      </w:pPr>
      <w:r>
        <w:rPr>
          <w:rFonts w:ascii="Calibri" w:hAnsi="Calibri" w:cs="Calibri"/>
          <w:color w:val="000000"/>
          <w:sz w:val="22"/>
          <w:szCs w:val="22"/>
          <w:lang w:val="en-GB"/>
        </w:rPr>
        <w:t>The question remains as to whether there is a genuine willingness on the part of the European Commission, the EU institutions and Member States to implement what has been set out. Without binding targets and dedicated funding, the Social Package risks sharing the fate of earlier commitments. Social workers and their organisations stand ready to help make it work.</w:t>
      </w:r>
    </w:p>
    <w:p w14:paraId="10114781" w14:textId="77777777" w:rsidR="00067563" w:rsidRDefault="0070420F">
      <w:pPr>
        <w:keepNext/>
        <w:spacing w:before="360" w:after="160"/>
      </w:pPr>
      <w:r>
        <w:rPr>
          <w:rFonts w:ascii="Calibri" w:hAnsi="Calibri" w:cs="Calibri"/>
          <w:b/>
          <w:bCs/>
          <w:color w:val="C00000"/>
          <w:sz w:val="28"/>
          <w:szCs w:val="28"/>
          <w:lang w:val="en-GB"/>
        </w:rPr>
        <w:t>References</w:t>
      </w:r>
    </w:p>
    <w:p w14:paraId="10116670" w14:textId="77777777" w:rsidR="00067563" w:rsidRDefault="0070420F">
      <w:pPr>
        <w:spacing w:after="120" w:line="252" w:lineRule="auto"/>
        <w:ind w:left="284" w:hanging="284"/>
      </w:pPr>
      <w:r>
        <w:rPr>
          <w:rFonts w:ascii="Calibri" w:hAnsi="Calibri" w:cs="Calibri"/>
          <w:color w:val="000000"/>
          <w:sz w:val="20"/>
          <w:szCs w:val="20"/>
          <w:lang w:val="en-GB"/>
        </w:rPr>
        <w:t xml:space="preserve">Alessandrini, M., Iacobucci, E., </w:t>
      </w:r>
      <w:proofErr w:type="spellStart"/>
      <w:r>
        <w:rPr>
          <w:rFonts w:ascii="Calibri" w:hAnsi="Calibri" w:cs="Calibri"/>
          <w:color w:val="000000"/>
          <w:sz w:val="20"/>
          <w:szCs w:val="20"/>
          <w:lang w:val="en-GB"/>
        </w:rPr>
        <w:t>Haarich</w:t>
      </w:r>
      <w:proofErr w:type="spellEnd"/>
      <w:r>
        <w:rPr>
          <w:rFonts w:ascii="Calibri" w:hAnsi="Calibri" w:cs="Calibri"/>
          <w:color w:val="000000"/>
          <w:sz w:val="20"/>
          <w:szCs w:val="20"/>
          <w:lang w:val="en-GB"/>
        </w:rPr>
        <w:t xml:space="preserve">, S., Schuh, B. &amp; </w:t>
      </w:r>
      <w:proofErr w:type="spellStart"/>
      <w:r>
        <w:rPr>
          <w:rFonts w:ascii="Calibri" w:hAnsi="Calibri" w:cs="Calibri"/>
          <w:color w:val="000000"/>
          <w:sz w:val="20"/>
          <w:szCs w:val="20"/>
          <w:lang w:val="en-GB"/>
        </w:rPr>
        <w:t>Toptsidou</w:t>
      </w:r>
      <w:proofErr w:type="spellEnd"/>
      <w:r>
        <w:rPr>
          <w:rFonts w:ascii="Calibri" w:hAnsi="Calibri" w:cs="Calibri"/>
          <w:color w:val="000000"/>
          <w:sz w:val="20"/>
          <w:szCs w:val="20"/>
          <w:lang w:val="en-GB"/>
        </w:rPr>
        <w:t xml:space="preserve">, M. (Spatial Foresight) (2025). </w:t>
      </w:r>
      <w:r>
        <w:rPr>
          <w:rFonts w:ascii="Calibri" w:hAnsi="Calibri" w:cs="Calibri"/>
          <w:i/>
          <w:iCs/>
          <w:color w:val="000000"/>
          <w:sz w:val="20"/>
          <w:szCs w:val="20"/>
          <w:lang w:val="en-GB"/>
        </w:rPr>
        <w:t>Towards a new EU Anti-Poverty Strategy</w:t>
      </w:r>
      <w:r>
        <w:rPr>
          <w:rFonts w:ascii="Calibri" w:hAnsi="Calibri" w:cs="Calibri"/>
          <w:color w:val="000000"/>
          <w:sz w:val="20"/>
          <w:szCs w:val="20"/>
          <w:lang w:val="en-GB"/>
        </w:rPr>
        <w:t>. Commission for Social Policy, Education, Employment, Research and Culture.</w:t>
      </w:r>
    </w:p>
    <w:p w14:paraId="1011855F" w14:textId="77777777" w:rsidR="00067563" w:rsidRDefault="0070420F">
      <w:pPr>
        <w:spacing w:after="120" w:line="252" w:lineRule="auto"/>
        <w:ind w:left="284" w:hanging="284"/>
      </w:pPr>
      <w:r>
        <w:rPr>
          <w:rFonts w:ascii="Calibri" w:hAnsi="Calibri" w:cs="Calibri"/>
          <w:color w:val="000000"/>
          <w:sz w:val="20"/>
          <w:szCs w:val="20"/>
          <w:lang w:val="en-GB"/>
        </w:rPr>
        <w:t xml:space="preserve">BASW and CWIP (2019). </w:t>
      </w:r>
      <w:r>
        <w:rPr>
          <w:rFonts w:ascii="Calibri" w:hAnsi="Calibri" w:cs="Calibri"/>
          <w:i/>
          <w:iCs/>
          <w:color w:val="000000"/>
          <w:sz w:val="20"/>
          <w:szCs w:val="20"/>
          <w:lang w:val="en-GB"/>
        </w:rPr>
        <w:t>Anti-Poverty Practice Guide for Social Work</w:t>
      </w:r>
      <w:r>
        <w:rPr>
          <w:rFonts w:ascii="Calibri" w:hAnsi="Calibri" w:cs="Calibri"/>
          <w:color w:val="000000"/>
          <w:sz w:val="20"/>
          <w:szCs w:val="20"/>
          <w:lang w:val="en-GB"/>
        </w:rPr>
        <w:t>. Birmingham: British Association of Social Workers.</w:t>
      </w:r>
    </w:p>
    <w:p w14:paraId="1011A44E" w14:textId="77777777" w:rsidR="00067563" w:rsidRDefault="0070420F">
      <w:pPr>
        <w:spacing w:after="120" w:line="252" w:lineRule="auto"/>
        <w:ind w:left="284" w:hanging="284"/>
      </w:pPr>
      <w:r>
        <w:rPr>
          <w:rFonts w:ascii="Calibri" w:hAnsi="Calibri" w:cs="Calibri"/>
          <w:color w:val="000000"/>
          <w:sz w:val="20"/>
          <w:szCs w:val="20"/>
          <w:lang w:val="en-GB"/>
        </w:rPr>
        <w:t xml:space="preserve">Bengtsson, J., Dich, N., Rieckmann, A. &amp; Rod, N.H. (2019). Cohort profile: the </w:t>
      </w:r>
      <w:proofErr w:type="spellStart"/>
      <w:r>
        <w:rPr>
          <w:rFonts w:ascii="Calibri" w:hAnsi="Calibri" w:cs="Calibri"/>
          <w:color w:val="000000"/>
          <w:sz w:val="20"/>
          <w:szCs w:val="20"/>
          <w:lang w:val="en-GB"/>
        </w:rPr>
        <w:t>DANish</w:t>
      </w:r>
      <w:proofErr w:type="spellEnd"/>
      <w:r>
        <w:rPr>
          <w:rFonts w:ascii="Calibri" w:hAnsi="Calibri" w:cs="Calibri"/>
          <w:color w:val="000000"/>
          <w:sz w:val="20"/>
          <w:szCs w:val="20"/>
          <w:lang w:val="en-GB"/>
        </w:rPr>
        <w:t xml:space="preserve"> LIFE course (DANLIFE) cohort, a prospective register-based cohort of all children born in Denmark since 1980. </w:t>
      </w:r>
      <w:r>
        <w:rPr>
          <w:rFonts w:ascii="Calibri" w:hAnsi="Calibri" w:cs="Calibri"/>
          <w:i/>
          <w:iCs/>
          <w:color w:val="000000"/>
          <w:sz w:val="20"/>
          <w:szCs w:val="20"/>
          <w:lang w:val="en-GB"/>
        </w:rPr>
        <w:t>BMJ Open</w:t>
      </w:r>
      <w:r>
        <w:rPr>
          <w:rFonts w:ascii="Calibri" w:hAnsi="Calibri" w:cs="Calibri"/>
          <w:color w:val="000000"/>
          <w:sz w:val="20"/>
          <w:szCs w:val="20"/>
          <w:lang w:val="en-GB"/>
        </w:rPr>
        <w:t>, 9, e027217. https://doi.org/10.1136/bmjopen-2018-027217</w:t>
      </w:r>
    </w:p>
    <w:p w14:paraId="1011C33D" w14:textId="77777777" w:rsidR="00067563" w:rsidRDefault="0070420F">
      <w:pPr>
        <w:spacing w:after="120" w:line="252" w:lineRule="auto"/>
        <w:ind w:left="284" w:hanging="284"/>
      </w:pPr>
      <w:r>
        <w:rPr>
          <w:rFonts w:ascii="Calibri" w:hAnsi="Calibri" w:cs="Calibri"/>
          <w:color w:val="000000"/>
          <w:sz w:val="20"/>
          <w:szCs w:val="20"/>
          <w:lang w:val="en-GB"/>
        </w:rPr>
        <w:t xml:space="preserve">Bray, R., De Laat, M., </w:t>
      </w:r>
      <w:proofErr w:type="spellStart"/>
      <w:r>
        <w:rPr>
          <w:rFonts w:ascii="Calibri" w:hAnsi="Calibri" w:cs="Calibri"/>
          <w:color w:val="000000"/>
          <w:sz w:val="20"/>
          <w:szCs w:val="20"/>
          <w:lang w:val="en-GB"/>
        </w:rPr>
        <w:t>Godinot</w:t>
      </w:r>
      <w:proofErr w:type="spellEnd"/>
      <w:r>
        <w:rPr>
          <w:rFonts w:ascii="Calibri" w:hAnsi="Calibri" w:cs="Calibri"/>
          <w:color w:val="000000"/>
          <w:sz w:val="20"/>
          <w:szCs w:val="20"/>
          <w:lang w:val="en-GB"/>
        </w:rPr>
        <w:t xml:space="preserve">, X., Ugarte, A. &amp; Walker, R. (2019). </w:t>
      </w:r>
      <w:r>
        <w:rPr>
          <w:rFonts w:ascii="Calibri" w:hAnsi="Calibri" w:cs="Calibri"/>
          <w:i/>
          <w:iCs/>
          <w:color w:val="000000"/>
          <w:sz w:val="20"/>
          <w:szCs w:val="20"/>
          <w:lang w:val="en-GB"/>
        </w:rPr>
        <w:t>The Hidden Dimensions of Poverty</w:t>
      </w:r>
      <w:r>
        <w:rPr>
          <w:rFonts w:ascii="Calibri" w:hAnsi="Calibri" w:cs="Calibri"/>
          <w:color w:val="000000"/>
          <w:sz w:val="20"/>
          <w:szCs w:val="20"/>
          <w:lang w:val="en-GB"/>
        </w:rPr>
        <w:t xml:space="preserve">. </w:t>
      </w:r>
      <w:proofErr w:type="spellStart"/>
      <w:r>
        <w:rPr>
          <w:rFonts w:ascii="Calibri" w:hAnsi="Calibri" w:cs="Calibri"/>
          <w:color w:val="000000"/>
          <w:sz w:val="20"/>
          <w:szCs w:val="20"/>
          <w:lang w:val="en-GB"/>
        </w:rPr>
        <w:t>Pierrelaye</w:t>
      </w:r>
      <w:proofErr w:type="spellEnd"/>
      <w:r>
        <w:rPr>
          <w:rFonts w:ascii="Calibri" w:hAnsi="Calibri" w:cs="Calibri"/>
          <w:color w:val="000000"/>
          <w:sz w:val="20"/>
          <w:szCs w:val="20"/>
          <w:lang w:val="en-GB"/>
        </w:rPr>
        <w:t>: International Movement ATD Fourth World. www.atd-fourthworld.org</w:t>
      </w:r>
    </w:p>
    <w:p w14:paraId="1011E22C" w14:textId="77777777" w:rsidR="00067563" w:rsidRDefault="0070420F">
      <w:pPr>
        <w:spacing w:after="120" w:line="252" w:lineRule="auto"/>
        <w:ind w:left="284" w:hanging="284"/>
      </w:pPr>
      <w:r w:rsidRPr="00CC7BC5">
        <w:rPr>
          <w:rFonts w:ascii="Calibri" w:hAnsi="Calibri" w:cs="Calibri"/>
          <w:color w:val="000000"/>
          <w:sz w:val="20"/>
          <w:szCs w:val="20"/>
          <w:lang w:val="fr-FR"/>
        </w:rPr>
        <w:lastRenderedPageBreak/>
        <w:t xml:space="preserve">Bywaters, P., Skinner, G., et al. </w:t>
      </w:r>
      <w:r>
        <w:rPr>
          <w:rFonts w:ascii="Calibri" w:hAnsi="Calibri" w:cs="Calibri"/>
          <w:color w:val="000000"/>
          <w:sz w:val="20"/>
          <w:szCs w:val="20"/>
          <w:lang w:val="en-GB"/>
        </w:rPr>
        <w:t xml:space="preserve">(2022). </w:t>
      </w:r>
      <w:r>
        <w:rPr>
          <w:rFonts w:ascii="Calibri" w:hAnsi="Calibri" w:cs="Calibri"/>
          <w:i/>
          <w:iCs/>
          <w:color w:val="000000"/>
          <w:sz w:val="20"/>
          <w:szCs w:val="20"/>
          <w:lang w:val="en-GB"/>
        </w:rPr>
        <w:t>The relationship between poverty and child abuse and neglect: New evidence</w:t>
      </w:r>
      <w:r>
        <w:rPr>
          <w:rFonts w:ascii="Calibri" w:hAnsi="Calibri" w:cs="Calibri"/>
          <w:color w:val="000000"/>
          <w:sz w:val="20"/>
          <w:szCs w:val="20"/>
          <w:lang w:val="en-GB"/>
        </w:rPr>
        <w:t>. Nuffield Foundation and University of Huddersfield. https://www.nuffieldfoundation.org/wp-content/uploads/2022/03/Full-report-relationship-between-poverty-child-abuse-and-neglect.pdf</w:t>
      </w:r>
    </w:p>
    <w:p w14:paraId="1012011B" w14:textId="77777777" w:rsidR="00067563" w:rsidRDefault="0070420F">
      <w:pPr>
        <w:spacing w:after="120" w:line="252" w:lineRule="auto"/>
        <w:ind w:left="284" w:hanging="284"/>
      </w:pPr>
      <w:r>
        <w:rPr>
          <w:rFonts w:ascii="Calibri" w:hAnsi="Calibri" w:cs="Calibri"/>
          <w:color w:val="000000"/>
          <w:sz w:val="20"/>
          <w:szCs w:val="20"/>
          <w:lang w:val="en-GB"/>
        </w:rPr>
        <w:t>COFACE Families Europe: New European Disability Strategy 2026–2030. https://coface-eu.org/new-european-disability-strategy-2026-2030/</w:t>
      </w:r>
    </w:p>
    <w:p w14:paraId="1012200A" w14:textId="77777777" w:rsidR="00067563" w:rsidRDefault="0070420F">
      <w:pPr>
        <w:spacing w:after="120" w:line="252" w:lineRule="auto"/>
        <w:ind w:left="284" w:hanging="284"/>
      </w:pPr>
      <w:r>
        <w:rPr>
          <w:rFonts w:ascii="Calibri" w:hAnsi="Calibri" w:cs="Calibri"/>
          <w:color w:val="000000"/>
          <w:sz w:val="20"/>
          <w:szCs w:val="20"/>
          <w:lang w:val="en-GB"/>
        </w:rPr>
        <w:t xml:space="preserve">Dean, H. &amp; Platt, L. (eds) (2016). </w:t>
      </w:r>
      <w:r>
        <w:rPr>
          <w:rFonts w:ascii="Calibri" w:hAnsi="Calibri" w:cs="Calibri"/>
          <w:i/>
          <w:iCs/>
          <w:color w:val="000000"/>
          <w:sz w:val="20"/>
          <w:szCs w:val="20"/>
          <w:lang w:val="en-GB"/>
        </w:rPr>
        <w:t>Social Advantage and Disadvantage</w:t>
      </w:r>
      <w:r>
        <w:rPr>
          <w:rFonts w:ascii="Calibri" w:hAnsi="Calibri" w:cs="Calibri"/>
          <w:color w:val="000000"/>
          <w:sz w:val="20"/>
          <w:szCs w:val="20"/>
          <w:lang w:val="en-GB"/>
        </w:rPr>
        <w:t>. Oxford: Oxford University Press.</w:t>
      </w:r>
    </w:p>
    <w:p w14:paraId="10123EF9" w14:textId="77777777" w:rsidR="00067563" w:rsidRDefault="0070420F">
      <w:pPr>
        <w:spacing w:after="120" w:line="252" w:lineRule="auto"/>
        <w:ind w:left="284" w:hanging="284"/>
      </w:pPr>
      <w:r>
        <w:rPr>
          <w:rFonts w:ascii="Calibri" w:hAnsi="Calibri" w:cs="Calibri"/>
          <w:color w:val="000000"/>
          <w:sz w:val="20"/>
          <w:szCs w:val="20"/>
          <w:lang w:val="en-GB"/>
        </w:rPr>
        <w:t xml:space="preserve">EAPN – European Anti-Poverty Network (2020). </w:t>
      </w:r>
      <w:r>
        <w:rPr>
          <w:rFonts w:ascii="Calibri" w:hAnsi="Calibri" w:cs="Calibri"/>
          <w:i/>
          <w:iCs/>
          <w:color w:val="000000"/>
          <w:sz w:val="20"/>
          <w:szCs w:val="20"/>
          <w:lang w:val="en-GB"/>
        </w:rPr>
        <w:t>What is poverty and how to combat it? An EAPN explainer</w:t>
      </w:r>
      <w:r>
        <w:rPr>
          <w:rFonts w:ascii="Calibri" w:hAnsi="Calibri" w:cs="Calibri"/>
          <w:color w:val="000000"/>
          <w:sz w:val="20"/>
          <w:szCs w:val="20"/>
          <w:lang w:val="en-GB"/>
        </w:rPr>
        <w:t>. https://www.eapn.pt/wp-content/uploads/2026/02/EAPN-Poverty-Explainer-Web-4319.pdf</w:t>
      </w:r>
    </w:p>
    <w:p w14:paraId="10125DE8" w14:textId="77777777" w:rsidR="00067563" w:rsidRDefault="0070420F">
      <w:pPr>
        <w:spacing w:after="120" w:line="252" w:lineRule="auto"/>
        <w:ind w:left="284" w:hanging="284"/>
      </w:pPr>
      <w:r>
        <w:rPr>
          <w:rFonts w:ascii="Calibri" w:hAnsi="Calibri" w:cs="Calibri"/>
          <w:color w:val="000000"/>
          <w:sz w:val="20"/>
          <w:szCs w:val="20"/>
          <w:lang w:val="en-GB"/>
        </w:rPr>
        <w:t>EASPD: Discussion Note on the EU Child Guarantee National Action Plans. https://easpd.eu/fileadmin/user_upload/Publications/EU_Child_Guarantee_National_Action_Plans.pdf</w:t>
      </w:r>
    </w:p>
    <w:p w14:paraId="10127CD7" w14:textId="77777777" w:rsidR="00067563" w:rsidRDefault="0070420F">
      <w:pPr>
        <w:spacing w:after="120" w:line="252" w:lineRule="auto"/>
        <w:ind w:left="284" w:hanging="284"/>
      </w:pPr>
      <w:r>
        <w:rPr>
          <w:rFonts w:ascii="Calibri" w:hAnsi="Calibri" w:cs="Calibri"/>
          <w:color w:val="000000"/>
          <w:sz w:val="20"/>
          <w:szCs w:val="20"/>
          <w:lang w:val="en-GB"/>
        </w:rPr>
        <w:t>EU Child Guarantee: https://childrensrights.ie/wp-content/uploads/2023/06/European-Child-Guarantee-June-2021.pdf</w:t>
      </w:r>
    </w:p>
    <w:p w14:paraId="10129BC6" w14:textId="77777777" w:rsidR="00067563" w:rsidRDefault="0070420F">
      <w:pPr>
        <w:spacing w:after="120" w:line="252" w:lineRule="auto"/>
        <w:ind w:left="284" w:hanging="284"/>
      </w:pPr>
      <w:r>
        <w:rPr>
          <w:rFonts w:ascii="Calibri" w:hAnsi="Calibri" w:cs="Calibri"/>
          <w:color w:val="000000"/>
          <w:sz w:val="20"/>
          <w:szCs w:val="20"/>
          <w:lang w:val="en-GB"/>
        </w:rPr>
        <w:t xml:space="preserve">EU Employment, Social Affairs and Inclusion (2026). </w:t>
      </w:r>
      <w:r>
        <w:rPr>
          <w:rFonts w:ascii="Calibri" w:hAnsi="Calibri" w:cs="Calibri"/>
          <w:i/>
          <w:iCs/>
          <w:color w:val="000000"/>
          <w:sz w:val="20"/>
          <w:szCs w:val="20"/>
          <w:lang w:val="en-GB"/>
        </w:rPr>
        <w:t>Joint Employment Report 2026</w:t>
      </w:r>
      <w:r>
        <w:rPr>
          <w:rFonts w:ascii="Calibri" w:hAnsi="Calibri" w:cs="Calibri"/>
          <w:color w:val="000000"/>
          <w:sz w:val="20"/>
          <w:szCs w:val="20"/>
          <w:lang w:val="en-GB"/>
        </w:rPr>
        <w:t>. Adopted 09.03.2026. https://op.europa.eu/en/publication-detail/-/publication/428fd92f-1c2f-11f1-8c3a-01aa75ed71a1/language-en</w:t>
      </w:r>
    </w:p>
    <w:p w14:paraId="1012BAB5" w14:textId="77777777" w:rsidR="00067563" w:rsidRDefault="0070420F">
      <w:pPr>
        <w:spacing w:after="120" w:line="252" w:lineRule="auto"/>
        <w:ind w:left="284" w:hanging="284"/>
      </w:pPr>
      <w:proofErr w:type="spellStart"/>
      <w:r>
        <w:rPr>
          <w:rFonts w:ascii="Calibri" w:hAnsi="Calibri" w:cs="Calibri"/>
          <w:color w:val="000000"/>
          <w:sz w:val="20"/>
          <w:szCs w:val="20"/>
          <w:lang w:val="en-GB"/>
        </w:rPr>
        <w:t>Eurofound</w:t>
      </w:r>
      <w:proofErr w:type="spellEnd"/>
      <w:r>
        <w:rPr>
          <w:rFonts w:ascii="Calibri" w:hAnsi="Calibri" w:cs="Calibri"/>
          <w:color w:val="000000"/>
          <w:sz w:val="20"/>
          <w:szCs w:val="20"/>
          <w:lang w:val="en-GB"/>
        </w:rPr>
        <w:t xml:space="preserve"> (</w:t>
      </w:r>
      <w:proofErr w:type="spellStart"/>
      <w:r>
        <w:rPr>
          <w:rFonts w:ascii="Calibri" w:hAnsi="Calibri" w:cs="Calibri"/>
          <w:color w:val="000000"/>
          <w:sz w:val="20"/>
          <w:szCs w:val="20"/>
          <w:lang w:val="en-GB"/>
        </w:rPr>
        <w:t>s.d.</w:t>
      </w:r>
      <w:proofErr w:type="spellEnd"/>
      <w:r>
        <w:rPr>
          <w:rFonts w:ascii="Calibri" w:hAnsi="Calibri" w:cs="Calibri"/>
          <w:color w:val="000000"/>
          <w:sz w:val="20"/>
          <w:szCs w:val="20"/>
          <w:lang w:val="en-GB"/>
        </w:rPr>
        <w:t xml:space="preserve">). </w:t>
      </w:r>
      <w:r>
        <w:rPr>
          <w:rFonts w:ascii="Calibri" w:hAnsi="Calibri" w:cs="Calibri"/>
          <w:i/>
          <w:iCs/>
          <w:color w:val="000000"/>
          <w:sz w:val="20"/>
          <w:szCs w:val="20"/>
          <w:lang w:val="en-GB"/>
        </w:rPr>
        <w:t>Working poor</w:t>
      </w:r>
      <w:r>
        <w:rPr>
          <w:rFonts w:ascii="Calibri" w:hAnsi="Calibri" w:cs="Calibri"/>
          <w:color w:val="000000"/>
          <w:sz w:val="20"/>
          <w:szCs w:val="20"/>
          <w:lang w:val="en-GB"/>
        </w:rPr>
        <w:t>. https://www.eurofound.europa.eu/en/topics/working-poor</w:t>
      </w:r>
    </w:p>
    <w:p w14:paraId="1012D9A4" w14:textId="77777777" w:rsidR="00067563" w:rsidRDefault="0070420F">
      <w:pPr>
        <w:spacing w:after="120" w:line="252" w:lineRule="auto"/>
        <w:ind w:left="284" w:hanging="284"/>
      </w:pPr>
      <w:r>
        <w:rPr>
          <w:rFonts w:ascii="Calibri" w:hAnsi="Calibri" w:cs="Calibri"/>
          <w:color w:val="000000"/>
          <w:sz w:val="20"/>
          <w:szCs w:val="20"/>
          <w:lang w:val="en-GB"/>
        </w:rPr>
        <w:t xml:space="preserve">European Network of Public Employment Services (PES) (2025). </w:t>
      </w:r>
      <w:r>
        <w:rPr>
          <w:rFonts w:ascii="Calibri" w:hAnsi="Calibri" w:cs="Calibri"/>
          <w:i/>
          <w:iCs/>
          <w:color w:val="000000"/>
          <w:sz w:val="20"/>
          <w:szCs w:val="20"/>
          <w:lang w:val="en-GB"/>
        </w:rPr>
        <w:t>PES Network Opinion Paper: New Action Plan to implement the European Pillar of Social Rights</w:t>
      </w:r>
      <w:r>
        <w:rPr>
          <w:rFonts w:ascii="Calibri" w:hAnsi="Calibri" w:cs="Calibri"/>
          <w:color w:val="000000"/>
          <w:sz w:val="20"/>
          <w:szCs w:val="20"/>
          <w:lang w:val="en-GB"/>
        </w:rPr>
        <w:t>. September 2025.</w:t>
      </w:r>
    </w:p>
    <w:p w14:paraId="1012F893" w14:textId="77777777" w:rsidR="00067563" w:rsidRDefault="0070420F">
      <w:pPr>
        <w:spacing w:after="120" w:line="252" w:lineRule="auto"/>
        <w:ind w:left="284" w:hanging="284"/>
      </w:pPr>
      <w:r>
        <w:rPr>
          <w:rFonts w:ascii="Calibri" w:hAnsi="Calibri" w:cs="Calibri"/>
          <w:color w:val="000000"/>
          <w:sz w:val="20"/>
          <w:szCs w:val="20"/>
          <w:lang w:val="en-GB"/>
        </w:rPr>
        <w:t>European Youth Forum: https://www.youthforum.org/news/a-new-eu-affordable-housing-plan-the-good-the-bad-and-the-meh</w:t>
      </w:r>
    </w:p>
    <w:p w14:paraId="10131782" w14:textId="4E568A41" w:rsidR="00067563" w:rsidRDefault="0070420F">
      <w:pPr>
        <w:spacing w:after="120" w:line="252" w:lineRule="auto"/>
        <w:ind w:left="284" w:hanging="284"/>
      </w:pPr>
      <w:r>
        <w:rPr>
          <w:rFonts w:ascii="Calibri" w:hAnsi="Calibri" w:cs="Calibri"/>
          <w:color w:val="000000"/>
          <w:sz w:val="20"/>
          <w:szCs w:val="20"/>
          <w:lang w:val="en-GB"/>
        </w:rPr>
        <w:t xml:space="preserve">Eurostat (2026). </w:t>
      </w:r>
    </w:p>
    <w:p w14:paraId="10133671" w14:textId="77777777" w:rsidR="00067563" w:rsidRDefault="0070420F">
      <w:pPr>
        <w:spacing w:after="120" w:line="252" w:lineRule="auto"/>
        <w:ind w:left="284" w:hanging="284"/>
      </w:pPr>
      <w:r>
        <w:rPr>
          <w:rFonts w:ascii="Calibri" w:hAnsi="Calibri" w:cs="Calibri"/>
          <w:color w:val="000000"/>
          <w:sz w:val="20"/>
          <w:szCs w:val="20"/>
          <w:lang w:val="en-GB"/>
        </w:rPr>
        <w:t xml:space="preserve">FRA (European Union Agency for Fundamental Rights) (2025). </w:t>
      </w:r>
      <w:r>
        <w:rPr>
          <w:rFonts w:ascii="Calibri" w:hAnsi="Calibri" w:cs="Calibri"/>
          <w:i/>
          <w:iCs/>
          <w:color w:val="000000"/>
          <w:sz w:val="20"/>
          <w:szCs w:val="20"/>
          <w:lang w:val="en-GB"/>
        </w:rPr>
        <w:t>Fundamental Rights Report – Challenges and Achievements in 2025</w:t>
      </w:r>
      <w:r>
        <w:rPr>
          <w:rFonts w:ascii="Calibri" w:hAnsi="Calibri" w:cs="Calibri"/>
          <w:color w:val="000000"/>
          <w:sz w:val="20"/>
          <w:szCs w:val="20"/>
          <w:lang w:val="en-GB"/>
        </w:rPr>
        <w:t>.</w:t>
      </w:r>
    </w:p>
    <w:p w14:paraId="5BBDC728" w14:textId="404D2E8F" w:rsidR="00E75014" w:rsidRDefault="0070420F">
      <w:pPr>
        <w:spacing w:after="120" w:line="252" w:lineRule="auto"/>
        <w:ind w:left="284" w:hanging="284"/>
        <w:rPr>
          <w:rFonts w:ascii="Calibri" w:hAnsi="Calibri" w:cs="Calibri"/>
          <w:color w:val="000000"/>
          <w:sz w:val="20"/>
          <w:szCs w:val="20"/>
          <w:lang w:val="en-GB"/>
        </w:rPr>
      </w:pPr>
      <w:r>
        <w:rPr>
          <w:rFonts w:ascii="Calibri" w:hAnsi="Calibri" w:cs="Calibri"/>
          <w:color w:val="000000"/>
          <w:sz w:val="20"/>
          <w:szCs w:val="20"/>
          <w:lang w:val="en-GB"/>
        </w:rPr>
        <w:t xml:space="preserve">Housing Ireland: </w:t>
      </w:r>
      <w:hyperlink r:id="rId9" w:history="1">
        <w:r w:rsidR="00E75014" w:rsidRPr="00A24B2F">
          <w:rPr>
            <w:rStyle w:val="Hyperlink"/>
            <w:rFonts w:ascii="Calibri" w:hAnsi="Calibri" w:cs="Calibri"/>
            <w:sz w:val="20"/>
            <w:szCs w:val="20"/>
            <w:lang w:val="en-GB"/>
          </w:rPr>
          <w:t>https://housingireland.ie/delivering-the-european-affordable-housing-plan/</w:t>
        </w:r>
      </w:hyperlink>
    </w:p>
    <w:p w14:paraId="2B32CAEA" w14:textId="2FF8E95B" w:rsidR="00BB0499" w:rsidRPr="000C6D4D" w:rsidRDefault="006D2A92">
      <w:pPr>
        <w:spacing w:after="120" w:line="252" w:lineRule="auto"/>
        <w:ind w:left="284" w:hanging="284"/>
        <w:rPr>
          <w:rFonts w:ascii="Calibri" w:hAnsi="Calibri" w:cs="Calibri"/>
          <w:color w:val="000000"/>
          <w:sz w:val="22"/>
          <w:szCs w:val="22"/>
          <w:lang w:val="da-DK"/>
        </w:rPr>
      </w:pPr>
      <w:r w:rsidRPr="00BB0499">
        <w:rPr>
          <w:rFonts w:ascii="Calibri" w:hAnsi="Calibri" w:cs="Calibri"/>
          <w:color w:val="000000"/>
          <w:sz w:val="20"/>
          <w:szCs w:val="20"/>
          <w:lang w:val="da-DK"/>
        </w:rPr>
        <w:t>K</w:t>
      </w:r>
      <w:r w:rsidR="00210ECF" w:rsidRPr="00BB0499">
        <w:rPr>
          <w:rFonts w:ascii="Calibri" w:hAnsi="Calibri" w:cs="Calibri"/>
          <w:color w:val="000000"/>
          <w:sz w:val="20"/>
          <w:szCs w:val="20"/>
          <w:lang w:val="da-DK"/>
        </w:rPr>
        <w:t>raka</w:t>
      </w:r>
      <w:r w:rsidR="00CA764D" w:rsidRPr="000C6D4D">
        <w:rPr>
          <w:rFonts w:ascii="Calibri" w:hAnsi="Calibri" w:cs="Calibri"/>
          <w:color w:val="000000"/>
          <w:sz w:val="20"/>
          <w:szCs w:val="20"/>
          <w:lang w:val="da-DK"/>
        </w:rPr>
        <w:t xml:space="preserve"> </w:t>
      </w:r>
      <w:r w:rsidR="000C6D4D">
        <w:rPr>
          <w:rFonts w:ascii="Calibri" w:hAnsi="Calibri" w:cs="Calibri"/>
          <w:color w:val="000000"/>
          <w:sz w:val="20"/>
          <w:szCs w:val="20"/>
          <w:lang w:val="da-DK"/>
        </w:rPr>
        <w:t xml:space="preserve"> 2023</w:t>
      </w:r>
      <w:r w:rsidR="00CA764D" w:rsidRPr="000C6D4D">
        <w:rPr>
          <w:rFonts w:ascii="Calibri" w:hAnsi="Calibri" w:cs="Calibri"/>
          <w:color w:val="000000"/>
          <w:sz w:val="20"/>
          <w:szCs w:val="20"/>
          <w:lang w:val="da-DK"/>
        </w:rPr>
        <w:t>:</w:t>
      </w:r>
      <w:r w:rsidR="00BB0499" w:rsidRPr="000C6D4D">
        <w:rPr>
          <w:lang w:val="da-DK"/>
        </w:rPr>
        <w:t xml:space="preserve"> </w:t>
      </w:r>
      <w:hyperlink r:id="rId10" w:history="1">
        <w:r w:rsidR="00BB0499" w:rsidRPr="000C6D4D">
          <w:rPr>
            <w:rStyle w:val="Hyperlink"/>
            <w:rFonts w:ascii="Calibri" w:hAnsi="Calibri" w:cs="Calibri"/>
            <w:sz w:val="22"/>
            <w:szCs w:val="22"/>
            <w:lang w:val="da-DK"/>
          </w:rPr>
          <w:t>https://kraka.dk/30-mia-gode-grunde-til-at-investere-i-socialt-udsatte-boern/</w:t>
        </w:r>
      </w:hyperlink>
      <w:r w:rsidR="00BB0499" w:rsidRPr="000C6D4D">
        <w:rPr>
          <w:rFonts w:ascii="Calibri" w:hAnsi="Calibri" w:cs="Calibri"/>
          <w:color w:val="000000"/>
          <w:sz w:val="22"/>
          <w:szCs w:val="22"/>
          <w:lang w:val="da-DK"/>
        </w:rPr>
        <w:t xml:space="preserve"> </w:t>
      </w:r>
      <w:r w:rsidR="00FF0240" w:rsidRPr="000C6D4D">
        <w:rPr>
          <w:rFonts w:ascii="Calibri" w:hAnsi="Calibri" w:cs="Calibri"/>
          <w:color w:val="000000"/>
          <w:sz w:val="22"/>
          <w:szCs w:val="22"/>
          <w:lang w:val="da-DK"/>
        </w:rPr>
        <w:t xml:space="preserve"> </w:t>
      </w:r>
    </w:p>
    <w:p w14:paraId="1013744F" w14:textId="298695EF" w:rsidR="00067563" w:rsidRDefault="0070420F">
      <w:pPr>
        <w:spacing w:after="120" w:line="252" w:lineRule="auto"/>
        <w:ind w:left="284" w:hanging="284"/>
      </w:pPr>
      <w:r w:rsidRPr="00BB0499">
        <w:rPr>
          <w:rFonts w:ascii="Calibri" w:hAnsi="Calibri" w:cs="Calibri"/>
          <w:color w:val="000000"/>
          <w:sz w:val="20"/>
          <w:szCs w:val="20"/>
          <w:lang w:val="da-DK"/>
        </w:rPr>
        <w:t xml:space="preserve">Lister, R. (2021). </w:t>
      </w:r>
      <w:r>
        <w:rPr>
          <w:rFonts w:ascii="Calibri" w:hAnsi="Calibri" w:cs="Calibri"/>
          <w:i/>
          <w:iCs/>
          <w:color w:val="000000"/>
          <w:sz w:val="20"/>
          <w:szCs w:val="20"/>
          <w:lang w:val="en-GB"/>
        </w:rPr>
        <w:t>Poverty</w:t>
      </w:r>
      <w:r>
        <w:rPr>
          <w:rFonts w:ascii="Calibri" w:hAnsi="Calibri" w:cs="Calibri"/>
          <w:color w:val="000000"/>
          <w:sz w:val="20"/>
          <w:szCs w:val="20"/>
          <w:lang w:val="en-GB"/>
        </w:rPr>
        <w:t xml:space="preserve">. 2nd </w:t>
      </w:r>
      <w:proofErr w:type="spellStart"/>
      <w:r>
        <w:rPr>
          <w:rFonts w:ascii="Calibri" w:hAnsi="Calibri" w:cs="Calibri"/>
          <w:color w:val="000000"/>
          <w:sz w:val="20"/>
          <w:szCs w:val="20"/>
          <w:lang w:val="en-GB"/>
        </w:rPr>
        <w:t>edn</w:t>
      </w:r>
      <w:proofErr w:type="spellEnd"/>
      <w:r>
        <w:rPr>
          <w:rFonts w:ascii="Calibri" w:hAnsi="Calibri" w:cs="Calibri"/>
          <w:color w:val="000000"/>
          <w:sz w:val="20"/>
          <w:szCs w:val="20"/>
          <w:lang w:val="en-GB"/>
        </w:rPr>
        <w:t>. Bristol: Policy Press.</w:t>
      </w:r>
    </w:p>
    <w:p w14:paraId="1013933E" w14:textId="77777777" w:rsidR="00067563" w:rsidRDefault="0070420F">
      <w:pPr>
        <w:spacing w:after="120" w:line="252" w:lineRule="auto"/>
        <w:ind w:left="284" w:hanging="284"/>
      </w:pPr>
      <w:r w:rsidRPr="000C6D4D">
        <w:rPr>
          <w:rFonts w:ascii="Calibri" w:hAnsi="Calibri" w:cs="Calibri"/>
          <w:color w:val="000000"/>
          <w:sz w:val="20"/>
          <w:szCs w:val="20"/>
          <w:lang w:val="en-GB"/>
        </w:rPr>
        <w:t xml:space="preserve">Morris, K., Mason, W., Bywaters, P., Featherstone, B., Daniel, B., Brady, G., Hooper, J., Mirza, N., Scourfield, J. &amp; Webb, C. (2018). Social work, poverty, and child welfare interventions. </w:t>
      </w:r>
      <w:r w:rsidRPr="000C6D4D">
        <w:rPr>
          <w:rFonts w:ascii="Calibri" w:hAnsi="Calibri" w:cs="Calibri"/>
          <w:i/>
          <w:iCs/>
          <w:color w:val="000000"/>
          <w:sz w:val="20"/>
          <w:szCs w:val="20"/>
          <w:lang w:val="en-GB"/>
        </w:rPr>
        <w:t>Child &amp; Family Social Work</w:t>
      </w:r>
      <w:r w:rsidRPr="000C6D4D">
        <w:rPr>
          <w:rFonts w:ascii="Calibri" w:hAnsi="Calibri" w:cs="Calibri"/>
          <w:color w:val="000000"/>
          <w:sz w:val="20"/>
          <w:szCs w:val="20"/>
          <w:lang w:val="en-GB"/>
        </w:rPr>
        <w:t>, 23, 364–372.</w:t>
      </w:r>
    </w:p>
    <w:p w14:paraId="1013B22D" w14:textId="77777777" w:rsidR="00067563" w:rsidRDefault="0070420F">
      <w:pPr>
        <w:spacing w:after="120" w:line="252" w:lineRule="auto"/>
        <w:ind w:left="284" w:hanging="284"/>
      </w:pPr>
      <w:r>
        <w:rPr>
          <w:rFonts w:ascii="Calibri" w:hAnsi="Calibri" w:cs="Calibri"/>
          <w:color w:val="000000"/>
          <w:sz w:val="20"/>
          <w:szCs w:val="20"/>
          <w:lang w:val="en-GB"/>
        </w:rPr>
        <w:t xml:space="preserve">O’Toole, F. (2021). ‘Poverty is an expensive luxury we (Ireland) can no longer afford’. </w:t>
      </w:r>
      <w:r>
        <w:rPr>
          <w:rFonts w:ascii="Calibri" w:hAnsi="Calibri" w:cs="Calibri"/>
          <w:i/>
          <w:iCs/>
          <w:color w:val="000000"/>
          <w:sz w:val="20"/>
          <w:szCs w:val="20"/>
          <w:lang w:val="en-GB"/>
        </w:rPr>
        <w:t>The Irish Times</w:t>
      </w:r>
      <w:r>
        <w:rPr>
          <w:rFonts w:ascii="Calibri" w:hAnsi="Calibri" w:cs="Calibri"/>
          <w:color w:val="000000"/>
          <w:sz w:val="20"/>
          <w:szCs w:val="20"/>
          <w:lang w:val="en-GB"/>
        </w:rPr>
        <w:t>, 21.08.2021.</w:t>
      </w:r>
    </w:p>
    <w:p w14:paraId="1013D11C" w14:textId="77777777" w:rsidR="00067563" w:rsidRDefault="0070420F">
      <w:pPr>
        <w:spacing w:after="120" w:line="252" w:lineRule="auto"/>
        <w:ind w:left="284" w:hanging="284"/>
      </w:pPr>
      <w:r>
        <w:rPr>
          <w:rFonts w:ascii="Calibri" w:hAnsi="Calibri" w:cs="Calibri"/>
          <w:color w:val="000000"/>
          <w:sz w:val="20"/>
          <w:szCs w:val="20"/>
          <w:lang w:val="en-GB"/>
        </w:rPr>
        <w:t xml:space="preserve">Piketty, T. (2014). </w:t>
      </w:r>
      <w:r>
        <w:rPr>
          <w:rFonts w:ascii="Calibri" w:hAnsi="Calibri" w:cs="Calibri"/>
          <w:i/>
          <w:iCs/>
          <w:color w:val="000000"/>
          <w:sz w:val="20"/>
          <w:szCs w:val="20"/>
          <w:lang w:val="en-GB"/>
        </w:rPr>
        <w:t>Capital in the Twenty-First Century</w:t>
      </w:r>
      <w:r>
        <w:rPr>
          <w:rFonts w:ascii="Calibri" w:hAnsi="Calibri" w:cs="Calibri"/>
          <w:color w:val="000000"/>
          <w:sz w:val="20"/>
          <w:szCs w:val="20"/>
          <w:lang w:val="en-GB"/>
        </w:rPr>
        <w:t>. Cambridge, MA and London: The Belknap Press of Harvard University Press.</w:t>
      </w:r>
    </w:p>
    <w:p w14:paraId="1013F00B" w14:textId="77777777" w:rsidR="00067563" w:rsidRDefault="0070420F">
      <w:pPr>
        <w:spacing w:after="120" w:line="252" w:lineRule="auto"/>
        <w:ind w:left="284" w:hanging="284"/>
      </w:pPr>
      <w:r>
        <w:rPr>
          <w:rFonts w:ascii="Calibri" w:hAnsi="Calibri" w:cs="Calibri"/>
          <w:color w:val="000000"/>
          <w:sz w:val="20"/>
          <w:szCs w:val="20"/>
          <w:lang w:val="en-GB"/>
        </w:rPr>
        <w:t>Royal College of Physicians of Ireland (2019). https://www.drugsandalcohol.ie/31348/1/Impact-of-Homelessness-full-position-paper-final.pdf</w:t>
      </w:r>
    </w:p>
    <w:p w14:paraId="10140EFA" w14:textId="77777777" w:rsidR="00067563" w:rsidRDefault="0070420F">
      <w:pPr>
        <w:spacing w:after="120" w:line="252" w:lineRule="auto"/>
        <w:ind w:left="284" w:hanging="284"/>
        <w:rPr>
          <w:rFonts w:ascii="Calibri" w:hAnsi="Calibri" w:cs="Calibri"/>
          <w:color w:val="000000"/>
          <w:sz w:val="20"/>
          <w:szCs w:val="20"/>
          <w:lang w:val="en-GB"/>
        </w:rPr>
      </w:pPr>
      <w:proofErr w:type="spellStart"/>
      <w:r>
        <w:rPr>
          <w:rFonts w:ascii="Calibri" w:hAnsi="Calibri" w:cs="Calibri"/>
          <w:color w:val="000000"/>
          <w:sz w:val="20"/>
          <w:szCs w:val="20"/>
          <w:lang w:val="en-GB"/>
        </w:rPr>
        <w:t>Shildrick</w:t>
      </w:r>
      <w:proofErr w:type="spellEnd"/>
      <w:r>
        <w:rPr>
          <w:rFonts w:ascii="Calibri" w:hAnsi="Calibri" w:cs="Calibri"/>
          <w:color w:val="000000"/>
          <w:sz w:val="20"/>
          <w:szCs w:val="20"/>
          <w:lang w:val="en-GB"/>
        </w:rPr>
        <w:t xml:space="preserve">, T. (2018). </w:t>
      </w:r>
      <w:r>
        <w:rPr>
          <w:rFonts w:ascii="Calibri" w:hAnsi="Calibri" w:cs="Calibri"/>
          <w:i/>
          <w:iCs/>
          <w:color w:val="000000"/>
          <w:sz w:val="20"/>
          <w:szCs w:val="20"/>
          <w:lang w:val="en-GB"/>
        </w:rPr>
        <w:t>Poverty Propaganda: Exploring the Myths</w:t>
      </w:r>
      <w:r>
        <w:rPr>
          <w:rFonts w:ascii="Calibri" w:hAnsi="Calibri" w:cs="Calibri"/>
          <w:color w:val="000000"/>
          <w:sz w:val="20"/>
          <w:szCs w:val="20"/>
          <w:lang w:val="en-GB"/>
        </w:rPr>
        <w:t>. Bristol: Policy Press.</w:t>
      </w:r>
    </w:p>
    <w:p w14:paraId="710E75F4" w14:textId="208E7F34" w:rsidR="00557858" w:rsidRPr="00557858" w:rsidRDefault="001101D4" w:rsidP="00557858">
      <w:pPr>
        <w:spacing w:after="120" w:line="252" w:lineRule="auto"/>
        <w:ind w:left="284" w:hanging="284"/>
        <w:rPr>
          <w:rFonts w:ascii="Calibri" w:hAnsi="Calibri" w:cs="Calibri"/>
          <w:color w:val="000000"/>
          <w:sz w:val="20"/>
          <w:szCs w:val="20"/>
          <w:lang w:val="da-DK"/>
        </w:rPr>
      </w:pPr>
      <w:r w:rsidRPr="000C6D4D">
        <w:rPr>
          <w:rFonts w:ascii="Calibri" w:hAnsi="Calibri" w:cs="Calibri"/>
          <w:color w:val="000000"/>
          <w:sz w:val="20"/>
          <w:szCs w:val="20"/>
          <w:lang w:val="en-GB"/>
        </w:rPr>
        <w:t xml:space="preserve">Social Platform (2025) Analysis of the </w:t>
      </w:r>
      <w:proofErr w:type="spellStart"/>
      <w:r w:rsidRPr="000C6D4D">
        <w:rPr>
          <w:rFonts w:ascii="Calibri" w:hAnsi="Calibri" w:cs="Calibri"/>
          <w:color w:val="000000"/>
          <w:sz w:val="20"/>
          <w:szCs w:val="20"/>
          <w:lang w:val="en-GB"/>
        </w:rPr>
        <w:t>the</w:t>
      </w:r>
      <w:proofErr w:type="spellEnd"/>
      <w:r w:rsidRPr="000C6D4D">
        <w:rPr>
          <w:rFonts w:ascii="Calibri" w:hAnsi="Calibri" w:cs="Calibri"/>
          <w:color w:val="000000"/>
          <w:sz w:val="20"/>
          <w:szCs w:val="20"/>
          <w:lang w:val="en-GB"/>
        </w:rPr>
        <w:t xml:space="preserve"> post- 2027 Multiannual Financial Framework Proposal. </w:t>
      </w:r>
      <w:r w:rsidRPr="000C6D4D">
        <w:rPr>
          <w:rFonts w:ascii="Calibri" w:hAnsi="Calibri" w:cs="Calibri"/>
          <w:color w:val="000000"/>
          <w:sz w:val="20"/>
          <w:szCs w:val="20"/>
          <w:lang w:val="da-DK"/>
        </w:rPr>
        <w:t xml:space="preserve">November. </w:t>
      </w:r>
      <w:hyperlink r:id="rId11" w:history="1">
        <w:r w:rsidR="00557858" w:rsidRPr="000C6D4D">
          <w:rPr>
            <w:rStyle w:val="Hyperlink"/>
            <w:rFonts w:ascii="Calibri" w:hAnsi="Calibri" w:cs="Calibri"/>
            <w:sz w:val="20"/>
            <w:szCs w:val="20"/>
            <w:lang w:val="da-DK"/>
          </w:rPr>
          <w:t>https://www.socialplatform.org/documents/analysis-of-the-post-2027-multiannual-financial-framework-proposal/</w:t>
        </w:r>
      </w:hyperlink>
    </w:p>
    <w:p w14:paraId="10142DE9" w14:textId="04955C9C" w:rsidR="00067563" w:rsidRPr="00557858" w:rsidRDefault="0070420F" w:rsidP="00557858">
      <w:pPr>
        <w:spacing w:after="120" w:line="252" w:lineRule="auto"/>
        <w:ind w:left="284" w:hanging="284"/>
        <w:rPr>
          <w:rFonts w:ascii="Calibri" w:hAnsi="Calibri" w:cs="Calibri"/>
          <w:color w:val="EE0000"/>
          <w:sz w:val="20"/>
          <w:szCs w:val="20"/>
          <w:lang w:val="da-DK"/>
        </w:rPr>
      </w:pPr>
      <w:r>
        <w:rPr>
          <w:rFonts w:ascii="Calibri" w:hAnsi="Calibri" w:cs="Calibri"/>
          <w:color w:val="000000"/>
          <w:sz w:val="20"/>
          <w:szCs w:val="20"/>
          <w:lang w:val="en-GB"/>
        </w:rPr>
        <w:t xml:space="preserve">Stritch, J.M. &amp; Houghton, F. (2023). </w:t>
      </w:r>
      <w:r>
        <w:rPr>
          <w:rFonts w:ascii="Calibri" w:hAnsi="Calibri" w:cs="Calibri"/>
          <w:i/>
          <w:iCs/>
          <w:color w:val="000000"/>
          <w:sz w:val="20"/>
          <w:szCs w:val="20"/>
          <w:lang w:val="en-GB"/>
        </w:rPr>
        <w:t>An Evaluation of the Child Development Homelessness Project</w:t>
      </w:r>
      <w:r>
        <w:rPr>
          <w:rFonts w:ascii="Calibri" w:hAnsi="Calibri" w:cs="Calibri"/>
          <w:color w:val="000000"/>
          <w:sz w:val="20"/>
          <w:szCs w:val="20"/>
          <w:lang w:val="en-GB"/>
        </w:rPr>
        <w:t>. ABC Start Right Limerick (PAUL Partnership CLG).</w:t>
      </w:r>
    </w:p>
    <w:p w14:paraId="10144CD8" w14:textId="77777777" w:rsidR="00067563" w:rsidRDefault="0070420F">
      <w:pPr>
        <w:spacing w:after="120" w:line="252" w:lineRule="auto"/>
        <w:ind w:left="284" w:hanging="284"/>
      </w:pPr>
      <w:r>
        <w:rPr>
          <w:rFonts w:ascii="Calibri" w:hAnsi="Calibri" w:cs="Calibri"/>
          <w:color w:val="000000"/>
          <w:sz w:val="20"/>
          <w:szCs w:val="20"/>
          <w:lang w:val="en-GB"/>
        </w:rPr>
        <w:t xml:space="preserve">UNICEF (2026). </w:t>
      </w:r>
      <w:r>
        <w:rPr>
          <w:rFonts w:ascii="Calibri" w:hAnsi="Calibri" w:cs="Calibri"/>
          <w:i/>
          <w:iCs/>
          <w:color w:val="000000"/>
          <w:sz w:val="20"/>
          <w:szCs w:val="20"/>
          <w:lang w:val="en-GB"/>
        </w:rPr>
        <w:t>Five Years of the Child Guarantee: Policy Implementation Challenges and Effective On-the-Ground Solutions</w:t>
      </w:r>
      <w:r>
        <w:rPr>
          <w:rFonts w:ascii="Calibri" w:hAnsi="Calibri" w:cs="Calibri"/>
          <w:color w:val="000000"/>
          <w:sz w:val="20"/>
          <w:szCs w:val="20"/>
          <w:lang w:val="en-GB"/>
        </w:rPr>
        <w:t>. February 2026. https://www.unicef.org/eca/media/43376/file/ECG%20Reflective%20report%20-%20Final.pdf.pdf</w:t>
      </w:r>
    </w:p>
    <w:sectPr w:rsidR="00067563" w:rsidSect="00C46EC3">
      <w:footerReference w:type="default" r:id="rId12"/>
      <w:pgSz w:w="11900" w:h="16840"/>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AEC4CB" w14:textId="77777777" w:rsidR="00EE5F1E" w:rsidRDefault="00EE5F1E"/>
  </w:endnote>
  <w:endnote w:type="continuationSeparator" w:id="0">
    <w:p w14:paraId="0395D440" w14:textId="77777777" w:rsidR="00EE5F1E" w:rsidRDefault="00EE5F1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Sans-Serif">
    <w:altName w:val="Arial"/>
    <w:charset w:val="00"/>
    <w:family w:val="roman"/>
    <w:pitch w:val="default"/>
  </w:font>
  <w:font w:name="Wingdings,Sans-Serif">
    <w:altName w:val="Wingdings"/>
    <w:charset w:val="00"/>
    <w:family w:val="roman"/>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Helvetica">
    <w:panose1 w:val="020B0604020202020204"/>
    <w:charset w:val="00"/>
    <w:family w:val="auto"/>
    <w:pitch w:val="variable"/>
    <w:sig w:usb0="E00002FF" w:usb1="5000785B"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F">
    <w:charset w:val="00"/>
    <w:family w:val="auto"/>
    <w:pitch w:val="variable"/>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95828062"/>
      <w:docPartObj>
        <w:docPartGallery w:val="Page Numbers (Bottom of Page)"/>
        <w:docPartUnique/>
      </w:docPartObj>
    </w:sdtPr>
    <w:sdtContent>
      <w:p w14:paraId="4F573B75" w14:textId="7DDE6F54" w:rsidR="0039204D" w:rsidRDefault="0039204D">
        <w:pPr>
          <w:pStyle w:val="Footer"/>
        </w:pPr>
        <w:r>
          <w:fldChar w:fldCharType="begin"/>
        </w:r>
        <w:r>
          <w:instrText>PAGE   \* MERGEFORMAT</w:instrText>
        </w:r>
        <w:r>
          <w:fldChar w:fldCharType="separate"/>
        </w:r>
        <w:r>
          <w:rPr>
            <w:lang w:val="da-DK"/>
          </w:rPr>
          <w:t>2</w:t>
        </w:r>
        <w:r>
          <w:fldChar w:fldCharType="end"/>
        </w:r>
      </w:p>
    </w:sdtContent>
  </w:sdt>
  <w:p w14:paraId="3A83A3AB" w14:textId="77777777" w:rsidR="0039204D" w:rsidRDefault="003920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FA66CA" w14:textId="77777777" w:rsidR="00EE5F1E" w:rsidRDefault="00EE5F1E"/>
  </w:footnote>
  <w:footnote w:type="continuationSeparator" w:id="0">
    <w:p w14:paraId="34EE84A4" w14:textId="77777777" w:rsidR="00EE5F1E" w:rsidRDefault="00EE5F1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776B5"/>
    <w:multiLevelType w:val="hybridMultilevel"/>
    <w:tmpl w:val="3A42556E"/>
    <w:lvl w:ilvl="0" w:tplc="7B504FD6">
      <w:start w:val="1"/>
      <w:numFmt w:val="decimal"/>
      <w:lvlText w:val="%1."/>
      <w:lvlJc w:val="left"/>
      <w:pPr>
        <w:ind w:left="400" w:hanging="360"/>
      </w:pPr>
      <w:rPr>
        <w:rFonts w:hint="default"/>
      </w:rPr>
    </w:lvl>
    <w:lvl w:ilvl="1" w:tplc="08090019" w:tentative="1">
      <w:start w:val="1"/>
      <w:numFmt w:val="lowerLetter"/>
      <w:lvlText w:val="%2."/>
      <w:lvlJc w:val="left"/>
      <w:pPr>
        <w:ind w:left="1120" w:hanging="360"/>
      </w:pPr>
    </w:lvl>
    <w:lvl w:ilvl="2" w:tplc="0809001B" w:tentative="1">
      <w:start w:val="1"/>
      <w:numFmt w:val="lowerRoman"/>
      <w:lvlText w:val="%3."/>
      <w:lvlJc w:val="right"/>
      <w:pPr>
        <w:ind w:left="1840" w:hanging="180"/>
      </w:pPr>
    </w:lvl>
    <w:lvl w:ilvl="3" w:tplc="0809000F" w:tentative="1">
      <w:start w:val="1"/>
      <w:numFmt w:val="decimal"/>
      <w:lvlText w:val="%4."/>
      <w:lvlJc w:val="left"/>
      <w:pPr>
        <w:ind w:left="2560" w:hanging="360"/>
      </w:pPr>
    </w:lvl>
    <w:lvl w:ilvl="4" w:tplc="08090019" w:tentative="1">
      <w:start w:val="1"/>
      <w:numFmt w:val="lowerLetter"/>
      <w:lvlText w:val="%5."/>
      <w:lvlJc w:val="left"/>
      <w:pPr>
        <w:ind w:left="3280" w:hanging="360"/>
      </w:pPr>
    </w:lvl>
    <w:lvl w:ilvl="5" w:tplc="0809001B" w:tentative="1">
      <w:start w:val="1"/>
      <w:numFmt w:val="lowerRoman"/>
      <w:lvlText w:val="%6."/>
      <w:lvlJc w:val="right"/>
      <w:pPr>
        <w:ind w:left="4000" w:hanging="180"/>
      </w:pPr>
    </w:lvl>
    <w:lvl w:ilvl="6" w:tplc="0809000F" w:tentative="1">
      <w:start w:val="1"/>
      <w:numFmt w:val="decimal"/>
      <w:lvlText w:val="%7."/>
      <w:lvlJc w:val="left"/>
      <w:pPr>
        <w:ind w:left="4720" w:hanging="360"/>
      </w:pPr>
    </w:lvl>
    <w:lvl w:ilvl="7" w:tplc="08090019" w:tentative="1">
      <w:start w:val="1"/>
      <w:numFmt w:val="lowerLetter"/>
      <w:lvlText w:val="%8."/>
      <w:lvlJc w:val="left"/>
      <w:pPr>
        <w:ind w:left="5440" w:hanging="360"/>
      </w:pPr>
    </w:lvl>
    <w:lvl w:ilvl="8" w:tplc="0809001B" w:tentative="1">
      <w:start w:val="1"/>
      <w:numFmt w:val="lowerRoman"/>
      <w:lvlText w:val="%9."/>
      <w:lvlJc w:val="right"/>
      <w:pPr>
        <w:ind w:left="6160" w:hanging="180"/>
      </w:pPr>
    </w:lvl>
  </w:abstractNum>
  <w:abstractNum w:abstractNumId="1" w15:restartNumberingAfterBreak="0">
    <w:nsid w:val="178B74DA"/>
    <w:multiLevelType w:val="hybridMultilevel"/>
    <w:tmpl w:val="2AF2E3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2A13051"/>
    <w:multiLevelType w:val="hybridMultilevel"/>
    <w:tmpl w:val="BA142CA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64F964E1"/>
    <w:multiLevelType w:val="hybridMultilevel"/>
    <w:tmpl w:val="C584E0F2"/>
    <w:lvl w:ilvl="0" w:tplc="59CAEBC2">
      <w:start w:val="1"/>
      <w:numFmt w:val="bullet"/>
      <w:lvlText w:val="•"/>
      <w:lvlJc w:val="left"/>
      <w:pPr>
        <w:tabs>
          <w:tab w:val="num" w:pos="720"/>
        </w:tabs>
        <w:ind w:left="720" w:hanging="360"/>
      </w:pPr>
      <w:rPr>
        <w:rFonts w:ascii="Arial,Sans-Serif" w:hAnsi="Arial,Sans-Serif" w:hint="default"/>
      </w:rPr>
    </w:lvl>
    <w:lvl w:ilvl="1" w:tplc="186A13BA">
      <w:numFmt w:val="bullet"/>
      <w:lvlText w:val="Ø"/>
      <w:lvlJc w:val="left"/>
      <w:pPr>
        <w:tabs>
          <w:tab w:val="num" w:pos="1440"/>
        </w:tabs>
        <w:ind w:left="1440" w:hanging="360"/>
      </w:pPr>
      <w:rPr>
        <w:rFonts w:ascii="Wingdings,Sans-Serif" w:hAnsi="Wingdings,Sans-Serif" w:hint="default"/>
      </w:rPr>
    </w:lvl>
    <w:lvl w:ilvl="2" w:tplc="1D7A4890" w:tentative="1">
      <w:start w:val="1"/>
      <w:numFmt w:val="bullet"/>
      <w:lvlText w:val="•"/>
      <w:lvlJc w:val="left"/>
      <w:pPr>
        <w:tabs>
          <w:tab w:val="num" w:pos="2160"/>
        </w:tabs>
        <w:ind w:left="2160" w:hanging="360"/>
      </w:pPr>
      <w:rPr>
        <w:rFonts w:ascii="Arial,Sans-Serif" w:hAnsi="Arial,Sans-Serif" w:hint="default"/>
      </w:rPr>
    </w:lvl>
    <w:lvl w:ilvl="3" w:tplc="0AD2740C" w:tentative="1">
      <w:start w:val="1"/>
      <w:numFmt w:val="bullet"/>
      <w:lvlText w:val="•"/>
      <w:lvlJc w:val="left"/>
      <w:pPr>
        <w:tabs>
          <w:tab w:val="num" w:pos="2880"/>
        </w:tabs>
        <w:ind w:left="2880" w:hanging="360"/>
      </w:pPr>
      <w:rPr>
        <w:rFonts w:ascii="Arial,Sans-Serif" w:hAnsi="Arial,Sans-Serif" w:hint="default"/>
      </w:rPr>
    </w:lvl>
    <w:lvl w:ilvl="4" w:tplc="80B4E098" w:tentative="1">
      <w:start w:val="1"/>
      <w:numFmt w:val="bullet"/>
      <w:lvlText w:val="•"/>
      <w:lvlJc w:val="left"/>
      <w:pPr>
        <w:tabs>
          <w:tab w:val="num" w:pos="3600"/>
        </w:tabs>
        <w:ind w:left="3600" w:hanging="360"/>
      </w:pPr>
      <w:rPr>
        <w:rFonts w:ascii="Arial,Sans-Serif" w:hAnsi="Arial,Sans-Serif" w:hint="default"/>
      </w:rPr>
    </w:lvl>
    <w:lvl w:ilvl="5" w:tplc="DCC4D6DC" w:tentative="1">
      <w:start w:val="1"/>
      <w:numFmt w:val="bullet"/>
      <w:lvlText w:val="•"/>
      <w:lvlJc w:val="left"/>
      <w:pPr>
        <w:tabs>
          <w:tab w:val="num" w:pos="4320"/>
        </w:tabs>
        <w:ind w:left="4320" w:hanging="360"/>
      </w:pPr>
      <w:rPr>
        <w:rFonts w:ascii="Arial,Sans-Serif" w:hAnsi="Arial,Sans-Serif" w:hint="default"/>
      </w:rPr>
    </w:lvl>
    <w:lvl w:ilvl="6" w:tplc="578C0AD6" w:tentative="1">
      <w:start w:val="1"/>
      <w:numFmt w:val="bullet"/>
      <w:lvlText w:val="•"/>
      <w:lvlJc w:val="left"/>
      <w:pPr>
        <w:tabs>
          <w:tab w:val="num" w:pos="5040"/>
        </w:tabs>
        <w:ind w:left="5040" w:hanging="360"/>
      </w:pPr>
      <w:rPr>
        <w:rFonts w:ascii="Arial,Sans-Serif" w:hAnsi="Arial,Sans-Serif" w:hint="default"/>
      </w:rPr>
    </w:lvl>
    <w:lvl w:ilvl="7" w:tplc="2926E9EE" w:tentative="1">
      <w:start w:val="1"/>
      <w:numFmt w:val="bullet"/>
      <w:lvlText w:val="•"/>
      <w:lvlJc w:val="left"/>
      <w:pPr>
        <w:tabs>
          <w:tab w:val="num" w:pos="5760"/>
        </w:tabs>
        <w:ind w:left="5760" w:hanging="360"/>
      </w:pPr>
      <w:rPr>
        <w:rFonts w:ascii="Arial,Sans-Serif" w:hAnsi="Arial,Sans-Serif" w:hint="default"/>
      </w:rPr>
    </w:lvl>
    <w:lvl w:ilvl="8" w:tplc="1318BDFA" w:tentative="1">
      <w:start w:val="1"/>
      <w:numFmt w:val="bullet"/>
      <w:lvlText w:val="•"/>
      <w:lvlJc w:val="left"/>
      <w:pPr>
        <w:tabs>
          <w:tab w:val="num" w:pos="6480"/>
        </w:tabs>
        <w:ind w:left="6480" w:hanging="360"/>
      </w:pPr>
      <w:rPr>
        <w:rFonts w:ascii="Arial,Sans-Serif" w:hAnsi="Arial,Sans-Serif" w:hint="default"/>
      </w:rPr>
    </w:lvl>
  </w:abstractNum>
  <w:num w:numId="1" w16cid:durableId="1802308862">
    <w:abstractNumId w:val="1"/>
  </w:num>
  <w:num w:numId="2" w16cid:durableId="2062709054">
    <w:abstractNumId w:val="2"/>
  </w:num>
  <w:num w:numId="3" w16cid:durableId="2076316510">
    <w:abstractNumId w:val="0"/>
  </w:num>
  <w:num w:numId="4" w16cid:durableId="179748303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08A0"/>
    <w:rsid w:val="00067563"/>
    <w:rsid w:val="000C6D4D"/>
    <w:rsid w:val="000D1951"/>
    <w:rsid w:val="000F1C6A"/>
    <w:rsid w:val="001101D4"/>
    <w:rsid w:val="001C2FEC"/>
    <w:rsid w:val="001E0986"/>
    <w:rsid w:val="002108A0"/>
    <w:rsid w:val="00210ECF"/>
    <w:rsid w:val="002A06B5"/>
    <w:rsid w:val="002D208E"/>
    <w:rsid w:val="002F7285"/>
    <w:rsid w:val="0031202F"/>
    <w:rsid w:val="003150D3"/>
    <w:rsid w:val="00332FED"/>
    <w:rsid w:val="0039204D"/>
    <w:rsid w:val="003C003B"/>
    <w:rsid w:val="00405E46"/>
    <w:rsid w:val="00445F5C"/>
    <w:rsid w:val="00462104"/>
    <w:rsid w:val="004D232A"/>
    <w:rsid w:val="00505A10"/>
    <w:rsid w:val="005171B3"/>
    <w:rsid w:val="005400AC"/>
    <w:rsid w:val="00557858"/>
    <w:rsid w:val="005751A7"/>
    <w:rsid w:val="00577784"/>
    <w:rsid w:val="00591830"/>
    <w:rsid w:val="00592A3D"/>
    <w:rsid w:val="005A6B9E"/>
    <w:rsid w:val="005E3238"/>
    <w:rsid w:val="00626672"/>
    <w:rsid w:val="006347C1"/>
    <w:rsid w:val="006C05EF"/>
    <w:rsid w:val="006D2A92"/>
    <w:rsid w:val="006E737C"/>
    <w:rsid w:val="0070420F"/>
    <w:rsid w:val="00756BFC"/>
    <w:rsid w:val="00763B00"/>
    <w:rsid w:val="007A11B1"/>
    <w:rsid w:val="007A1268"/>
    <w:rsid w:val="007E725C"/>
    <w:rsid w:val="00822300"/>
    <w:rsid w:val="00834AB9"/>
    <w:rsid w:val="008D7DFB"/>
    <w:rsid w:val="008E3523"/>
    <w:rsid w:val="008E7F68"/>
    <w:rsid w:val="00932FBA"/>
    <w:rsid w:val="009347A7"/>
    <w:rsid w:val="009C6AE2"/>
    <w:rsid w:val="009C771A"/>
    <w:rsid w:val="009E4D4D"/>
    <w:rsid w:val="00A956FE"/>
    <w:rsid w:val="00A967B6"/>
    <w:rsid w:val="00AD4629"/>
    <w:rsid w:val="00B14999"/>
    <w:rsid w:val="00B21C8C"/>
    <w:rsid w:val="00B90B2F"/>
    <w:rsid w:val="00BB0499"/>
    <w:rsid w:val="00BB2355"/>
    <w:rsid w:val="00BE4380"/>
    <w:rsid w:val="00BE731D"/>
    <w:rsid w:val="00C11742"/>
    <w:rsid w:val="00C23327"/>
    <w:rsid w:val="00C44E37"/>
    <w:rsid w:val="00C4643D"/>
    <w:rsid w:val="00C46EC3"/>
    <w:rsid w:val="00C5210D"/>
    <w:rsid w:val="00C7138F"/>
    <w:rsid w:val="00C74000"/>
    <w:rsid w:val="00CA119E"/>
    <w:rsid w:val="00CA764D"/>
    <w:rsid w:val="00CC7BC5"/>
    <w:rsid w:val="00D17703"/>
    <w:rsid w:val="00D446D2"/>
    <w:rsid w:val="00D93EAE"/>
    <w:rsid w:val="00E75014"/>
    <w:rsid w:val="00E87E45"/>
    <w:rsid w:val="00E96CCA"/>
    <w:rsid w:val="00EE5F1E"/>
    <w:rsid w:val="00F207FC"/>
    <w:rsid w:val="00F23132"/>
    <w:rsid w:val="00F53AE3"/>
    <w:rsid w:val="00F80B18"/>
    <w:rsid w:val="00F82D31"/>
    <w:rsid w:val="00FB2628"/>
    <w:rsid w:val="00FE3D82"/>
    <w:rsid w:val="00FF0240"/>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511AB7"/>
  <w15:chartTrackingRefBased/>
  <w15:docId w15:val="{9D96FA7D-BD5F-AA49-A1D9-8EC6C3B94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a-DK"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08A0"/>
    <w:pPr>
      <w:spacing w:after="0" w:line="240" w:lineRule="auto"/>
    </w:pPr>
    <w:rPr>
      <w:lang w:val="en-IE"/>
    </w:rPr>
  </w:style>
  <w:style w:type="paragraph" w:styleId="Heading1">
    <w:name w:val="heading 1"/>
    <w:basedOn w:val="Normal"/>
    <w:next w:val="Normal"/>
    <w:link w:val="Heading1Char"/>
    <w:uiPriority w:val="9"/>
    <w:qFormat/>
    <w:rsid w:val="002108A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108A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108A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108A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108A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108A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108A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108A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108A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108A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108A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108A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108A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108A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108A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108A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108A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108A0"/>
    <w:rPr>
      <w:rFonts w:eastAsiaTheme="majorEastAsia" w:cstheme="majorBidi"/>
      <w:color w:val="272727" w:themeColor="text1" w:themeTint="D8"/>
    </w:rPr>
  </w:style>
  <w:style w:type="paragraph" w:styleId="Title">
    <w:name w:val="Title"/>
    <w:basedOn w:val="Normal"/>
    <w:next w:val="Normal"/>
    <w:link w:val="TitleChar"/>
    <w:uiPriority w:val="10"/>
    <w:qFormat/>
    <w:rsid w:val="002108A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108A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108A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108A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108A0"/>
    <w:pPr>
      <w:spacing w:before="160"/>
      <w:jc w:val="center"/>
    </w:pPr>
    <w:rPr>
      <w:i/>
      <w:iCs/>
      <w:color w:val="404040" w:themeColor="text1" w:themeTint="BF"/>
    </w:rPr>
  </w:style>
  <w:style w:type="character" w:customStyle="1" w:styleId="QuoteChar">
    <w:name w:val="Quote Char"/>
    <w:basedOn w:val="DefaultParagraphFont"/>
    <w:link w:val="Quote"/>
    <w:uiPriority w:val="29"/>
    <w:rsid w:val="002108A0"/>
    <w:rPr>
      <w:i/>
      <w:iCs/>
      <w:color w:val="404040" w:themeColor="text1" w:themeTint="BF"/>
    </w:rPr>
  </w:style>
  <w:style w:type="paragraph" w:styleId="ListParagraph">
    <w:name w:val="List Paragraph"/>
    <w:basedOn w:val="Normal"/>
    <w:uiPriority w:val="34"/>
    <w:qFormat/>
    <w:rsid w:val="002108A0"/>
    <w:pPr>
      <w:ind w:left="720"/>
      <w:contextualSpacing/>
    </w:pPr>
  </w:style>
  <w:style w:type="character" w:styleId="IntenseEmphasis">
    <w:name w:val="Intense Emphasis"/>
    <w:basedOn w:val="DefaultParagraphFont"/>
    <w:uiPriority w:val="21"/>
    <w:qFormat/>
    <w:rsid w:val="002108A0"/>
    <w:rPr>
      <w:i/>
      <w:iCs/>
      <w:color w:val="0F4761" w:themeColor="accent1" w:themeShade="BF"/>
    </w:rPr>
  </w:style>
  <w:style w:type="paragraph" w:styleId="IntenseQuote">
    <w:name w:val="Intense Quote"/>
    <w:basedOn w:val="Normal"/>
    <w:next w:val="Normal"/>
    <w:link w:val="IntenseQuoteChar"/>
    <w:uiPriority w:val="30"/>
    <w:qFormat/>
    <w:rsid w:val="002108A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108A0"/>
    <w:rPr>
      <w:i/>
      <w:iCs/>
      <w:color w:val="0F4761" w:themeColor="accent1" w:themeShade="BF"/>
    </w:rPr>
  </w:style>
  <w:style w:type="character" w:styleId="IntenseReference">
    <w:name w:val="Intense Reference"/>
    <w:basedOn w:val="DefaultParagraphFont"/>
    <w:uiPriority w:val="32"/>
    <w:qFormat/>
    <w:rsid w:val="002108A0"/>
    <w:rPr>
      <w:b/>
      <w:bCs/>
      <w:smallCaps/>
      <w:color w:val="0F4761" w:themeColor="accent1" w:themeShade="BF"/>
      <w:spacing w:val="5"/>
    </w:rPr>
  </w:style>
  <w:style w:type="paragraph" w:customStyle="1" w:styleId="p1">
    <w:name w:val="p1"/>
    <w:basedOn w:val="Normal"/>
    <w:rsid w:val="002108A0"/>
    <w:rPr>
      <w:rFonts w:ascii="Helvetica" w:eastAsia="Times New Roman" w:hAnsi="Helvetica" w:cs="Times New Roman"/>
      <w:color w:val="000000"/>
      <w:kern w:val="0"/>
      <w:sz w:val="14"/>
      <w:szCs w:val="14"/>
      <w:lang w:eastAsia="en-GB"/>
      <w14:ligatures w14:val="none"/>
    </w:rPr>
  </w:style>
  <w:style w:type="character" w:styleId="Emphasis">
    <w:name w:val="Emphasis"/>
    <w:basedOn w:val="DefaultParagraphFont"/>
    <w:uiPriority w:val="20"/>
    <w:qFormat/>
    <w:rsid w:val="002108A0"/>
    <w:rPr>
      <w:i/>
      <w:iCs/>
    </w:rPr>
  </w:style>
  <w:style w:type="paragraph" w:styleId="NormalWeb">
    <w:name w:val="Normal (Web)"/>
    <w:basedOn w:val="Normal"/>
    <w:uiPriority w:val="99"/>
    <w:unhideWhenUsed/>
    <w:rsid w:val="002108A0"/>
    <w:pPr>
      <w:spacing w:before="100" w:beforeAutospacing="1" w:after="100" w:afterAutospacing="1"/>
    </w:pPr>
    <w:rPr>
      <w:rFonts w:ascii="Times New Roman" w:eastAsia="Times New Roman" w:hAnsi="Times New Roman" w:cs="Times New Roman"/>
      <w:kern w:val="0"/>
      <w:lang w:val="da-DK" w:eastAsia="da-DK"/>
      <w14:ligatures w14:val="none"/>
    </w:rPr>
  </w:style>
  <w:style w:type="character" w:styleId="Hyperlink">
    <w:name w:val="Hyperlink"/>
    <w:basedOn w:val="DefaultParagraphFont"/>
    <w:uiPriority w:val="99"/>
    <w:unhideWhenUsed/>
    <w:rsid w:val="002108A0"/>
    <w:rPr>
      <w:color w:val="467886" w:themeColor="hyperlink"/>
      <w:u w:val="single"/>
    </w:rPr>
  </w:style>
  <w:style w:type="character" w:customStyle="1" w:styleId="apple-converted-space">
    <w:name w:val="apple-converted-space"/>
    <w:basedOn w:val="DefaultParagraphFont"/>
    <w:rsid w:val="008D7DFB"/>
  </w:style>
  <w:style w:type="character" w:styleId="Strong">
    <w:name w:val="Strong"/>
    <w:basedOn w:val="DefaultParagraphFont"/>
    <w:uiPriority w:val="22"/>
    <w:qFormat/>
    <w:rsid w:val="008D7DFB"/>
    <w:rPr>
      <w:b/>
      <w:bCs/>
    </w:rPr>
  </w:style>
  <w:style w:type="character" w:styleId="UnresolvedMention">
    <w:name w:val="Unresolved Mention"/>
    <w:basedOn w:val="DefaultParagraphFont"/>
    <w:uiPriority w:val="99"/>
    <w:semiHidden/>
    <w:unhideWhenUsed/>
    <w:rsid w:val="00E87E45"/>
    <w:rPr>
      <w:color w:val="605E5C"/>
      <w:shd w:val="clear" w:color="auto" w:fill="E1DFDD"/>
    </w:rPr>
  </w:style>
  <w:style w:type="character" w:styleId="FollowedHyperlink">
    <w:name w:val="FollowedHyperlink"/>
    <w:basedOn w:val="DefaultParagraphFont"/>
    <w:uiPriority w:val="99"/>
    <w:semiHidden/>
    <w:unhideWhenUsed/>
    <w:rsid w:val="00E87E45"/>
    <w:rPr>
      <w:color w:val="96607D" w:themeColor="followedHyperlink"/>
      <w:u w:val="single"/>
    </w:rPr>
  </w:style>
  <w:style w:type="paragraph" w:customStyle="1" w:styleId="Standard">
    <w:name w:val="Standard"/>
    <w:rsid w:val="002A06B5"/>
    <w:pPr>
      <w:suppressAutoHyphens/>
      <w:autoSpaceDN w:val="0"/>
      <w:spacing w:after="0" w:line="240" w:lineRule="auto"/>
      <w:textAlignment w:val="baseline"/>
    </w:pPr>
    <w:rPr>
      <w:rFonts w:ascii="Aptos" w:eastAsia="SimSun" w:hAnsi="Aptos" w:cs="F"/>
      <w:kern w:val="3"/>
      <w:lang w:val="en-IE"/>
      <w14:ligatures w14:val="none"/>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lang w:val="en-IE"/>
    </w:rPr>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iPriority w:val="99"/>
    <w:unhideWhenUsed/>
    <w:rsid w:val="005A6B9E"/>
    <w:pPr>
      <w:tabs>
        <w:tab w:val="center" w:pos="4819"/>
        <w:tab w:val="right" w:pos="9638"/>
      </w:tabs>
    </w:pPr>
  </w:style>
  <w:style w:type="character" w:customStyle="1" w:styleId="HeaderChar">
    <w:name w:val="Header Char"/>
    <w:basedOn w:val="DefaultParagraphFont"/>
    <w:link w:val="Header"/>
    <w:uiPriority w:val="99"/>
    <w:rsid w:val="005A6B9E"/>
    <w:rPr>
      <w:lang w:val="en-IE"/>
    </w:rPr>
  </w:style>
  <w:style w:type="paragraph" w:styleId="Footer">
    <w:name w:val="footer"/>
    <w:basedOn w:val="Normal"/>
    <w:link w:val="FooterChar"/>
    <w:uiPriority w:val="99"/>
    <w:unhideWhenUsed/>
    <w:rsid w:val="005A6B9E"/>
    <w:pPr>
      <w:tabs>
        <w:tab w:val="center" w:pos="4819"/>
        <w:tab w:val="right" w:pos="9638"/>
      </w:tabs>
    </w:pPr>
  </w:style>
  <w:style w:type="character" w:customStyle="1" w:styleId="FooterChar">
    <w:name w:val="Footer Char"/>
    <w:basedOn w:val="DefaultParagraphFont"/>
    <w:link w:val="Footer"/>
    <w:uiPriority w:val="99"/>
    <w:rsid w:val="005A6B9E"/>
    <w:rPr>
      <w:lang w:val="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kraka.dk/30-mia-gode-grunde-til-at-investere-i-socialt-udsatte-boern/"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socialplatform.org/documents/analysis-of-the-post-2027-multiannual-financial-framework-proposal/" TargetMode="External"/><Relationship Id="rId5" Type="http://schemas.openxmlformats.org/officeDocument/2006/relationships/footnotes" Target="footnotes.xml"/><Relationship Id="rId10" Type="http://schemas.openxmlformats.org/officeDocument/2006/relationships/hyperlink" Target="https://kraka.dk/30-mia-gode-grunde-til-at-investere-i-socialt-udsatte-boern/" TargetMode="External"/><Relationship Id="rId4" Type="http://schemas.openxmlformats.org/officeDocument/2006/relationships/webSettings" Target="webSettings.xml"/><Relationship Id="rId9" Type="http://schemas.openxmlformats.org/officeDocument/2006/relationships/hyperlink" Target="https://housingireland.ie/delivering-the-european-affordable-housing-plan/" TargetMode="External"/><Relationship Id="rId14"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6392</Words>
  <Characters>36441</Characters>
  <Application>Microsoft Office Word</Application>
  <DocSecurity>0</DocSecurity>
  <Lines>303</Lines>
  <Paragraphs>85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42748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Birthe Povlsen</dc:creator>
  <cp:keywords/>
  <dc:description/>
  <cp:lastModifiedBy>ruth allen</cp:lastModifiedBy>
  <cp:revision>3</cp:revision>
  <dcterms:created xsi:type="dcterms:W3CDTF">2026-10-05T11:51:00Z</dcterms:created>
  <dcterms:modified xsi:type="dcterms:W3CDTF">2026-10-05T11:51:00Z</dcterms:modified>
</cp:coreProperties>
</file>