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ECB0" w14:textId="77777777" w:rsidR="00453188" w:rsidRPr="00A41467" w:rsidRDefault="00453188" w:rsidP="00453188">
      <w:pPr>
        <w:rPr>
          <w:sz w:val="32"/>
          <w:szCs w:val="32"/>
        </w:rPr>
      </w:pPr>
      <w:r w:rsidRPr="00A41467">
        <w:rPr>
          <w:b/>
          <w:bCs/>
          <w:sz w:val="32"/>
          <w:szCs w:val="32"/>
        </w:rPr>
        <w:t>International Federation of Social Workers</w:t>
      </w:r>
    </w:p>
    <w:p w14:paraId="0053EA77" w14:textId="52C169D3" w:rsidR="00453188" w:rsidRPr="00A41467" w:rsidRDefault="00BD33E0" w:rsidP="00453188">
      <w:pPr>
        <w:rPr>
          <w:sz w:val="32"/>
          <w:szCs w:val="32"/>
        </w:rPr>
      </w:pPr>
      <w:r w:rsidRPr="00A41467">
        <w:rPr>
          <w:b/>
          <w:bCs/>
          <w:sz w:val="32"/>
          <w:szCs w:val="32"/>
        </w:rPr>
        <w:t>Statement</w:t>
      </w:r>
      <w:r w:rsidR="00453188" w:rsidRPr="00A41467">
        <w:rPr>
          <w:b/>
          <w:bCs/>
          <w:sz w:val="32"/>
          <w:szCs w:val="32"/>
        </w:rPr>
        <w:t xml:space="preserve"> on Social Work and Ageing </w:t>
      </w:r>
      <w:r w:rsidR="00F80204" w:rsidRPr="00A41467">
        <w:rPr>
          <w:b/>
          <w:bCs/>
          <w:sz w:val="32"/>
          <w:szCs w:val="32"/>
        </w:rPr>
        <w:t>for Adoption at the Global Meeting 2026</w:t>
      </w:r>
    </w:p>
    <w:p w14:paraId="2E56987F" w14:textId="4661D975" w:rsidR="00453188" w:rsidRPr="00A41467" w:rsidRDefault="00BD33E0" w:rsidP="00453188">
      <w:pPr>
        <w:rPr>
          <w:sz w:val="32"/>
          <w:szCs w:val="32"/>
        </w:rPr>
      </w:pPr>
      <w:r w:rsidRPr="00A41467">
        <w:rPr>
          <w:b/>
          <w:bCs/>
          <w:sz w:val="32"/>
          <w:szCs w:val="32"/>
        </w:rPr>
        <w:t>Relating to the</w:t>
      </w:r>
      <w:r w:rsidR="00453188" w:rsidRPr="00A41467">
        <w:rPr>
          <w:b/>
          <w:bCs/>
          <w:sz w:val="32"/>
          <w:szCs w:val="32"/>
        </w:rPr>
        <w:t xml:space="preserve"> Global Policy on Ageing and Older Adults 2008</w:t>
      </w:r>
    </w:p>
    <w:p w14:paraId="4B24FBA2" w14:textId="502F6257" w:rsidR="00453188" w:rsidRDefault="00453188" w:rsidP="00453188">
      <w:pPr>
        <w:rPr>
          <w:b/>
          <w:bCs/>
          <w:sz w:val="24"/>
          <w:szCs w:val="24"/>
        </w:rPr>
      </w:pPr>
      <w:r w:rsidRPr="00A41467">
        <w:rPr>
          <w:b/>
          <w:bCs/>
          <w:sz w:val="24"/>
          <w:szCs w:val="24"/>
        </w:rPr>
        <w:t>Author: UN Commission Team</w:t>
      </w:r>
      <w:r w:rsidR="00786CCE">
        <w:rPr>
          <w:b/>
          <w:bCs/>
          <w:sz w:val="24"/>
          <w:szCs w:val="24"/>
        </w:rPr>
        <w:t>, lead author Geraldine Nosowska</w:t>
      </w:r>
    </w:p>
    <w:p w14:paraId="57C0EFE1" w14:textId="77777777" w:rsidR="00B23087" w:rsidRPr="00A41467" w:rsidRDefault="00B23087" w:rsidP="00B23087">
      <w:pPr>
        <w:pStyle w:val="Heading1"/>
        <w:rPr>
          <w:rFonts w:ascii="Calibri" w:hAnsi="Calibri" w:cs="Calibri"/>
          <w:b/>
          <w:bCs/>
          <w:color w:val="auto"/>
          <w:sz w:val="24"/>
          <w:szCs w:val="24"/>
        </w:rPr>
      </w:pPr>
      <w:r w:rsidRPr="00A41467">
        <w:rPr>
          <w:rFonts w:ascii="Calibri" w:hAnsi="Calibri" w:cs="Calibri"/>
          <w:b/>
          <w:bCs/>
          <w:color w:val="auto"/>
          <w:sz w:val="24"/>
          <w:szCs w:val="24"/>
        </w:rPr>
        <w:t>Introduction to this statement</w:t>
      </w:r>
    </w:p>
    <w:p w14:paraId="297DFB46" w14:textId="2169C22D" w:rsidR="00AC7194" w:rsidRDefault="00AC7194" w:rsidP="00B23087">
      <w:r>
        <w:t xml:space="preserve">This statement is needed to support work by the IFSW UN Commission </w:t>
      </w:r>
      <w:r w:rsidR="00924BCA">
        <w:t>by ensuring that we</w:t>
      </w:r>
      <w:r>
        <w:t xml:space="preserve"> </w:t>
      </w:r>
      <w:r w:rsidR="00923986">
        <w:t xml:space="preserve">have common ground </w:t>
      </w:r>
      <w:r w:rsidR="00924BCA">
        <w:t>from</w:t>
      </w:r>
      <w:r w:rsidR="00923986" w:rsidRPr="00923986">
        <w:t xml:space="preserve"> the social work profession and the older people we serve </w:t>
      </w:r>
      <w:r w:rsidR="00924BCA">
        <w:t xml:space="preserve">as we </w:t>
      </w:r>
      <w:r>
        <w:t>advocat</w:t>
      </w:r>
      <w:r w:rsidR="00924BCA">
        <w:t>e</w:t>
      </w:r>
      <w:r w:rsidR="00923986">
        <w:t xml:space="preserve"> </w:t>
      </w:r>
      <w:r w:rsidR="00924BCA">
        <w:t xml:space="preserve">for </w:t>
      </w:r>
      <w:r w:rsidR="00923986">
        <w:t>the UN development of</w:t>
      </w:r>
      <w:r>
        <w:t xml:space="preserve"> a Convention on the Rights of Older Persons.</w:t>
      </w:r>
    </w:p>
    <w:p w14:paraId="4B9F4B4A" w14:textId="56E34F6D" w:rsidR="00AC7194" w:rsidRDefault="00924BCA" w:rsidP="00B23087">
      <w:r>
        <w:t xml:space="preserve">The IFSW Global Policy on Ageing and Older Persons was created in 2008. </w:t>
      </w:r>
      <w:r w:rsidR="00AC7194">
        <w:t>Our expectation is that the publication of a Convention on the Rights of Older Persons will be followed by an updated IFSW Global Policy.</w:t>
      </w:r>
    </w:p>
    <w:p w14:paraId="24832475" w14:textId="7AAA9ACB" w:rsidR="00923986" w:rsidRDefault="00923986" w:rsidP="00923986">
      <w:r>
        <w:t xml:space="preserve">It is </w:t>
      </w:r>
      <w:r w:rsidR="00924BCA">
        <w:t xml:space="preserve">also </w:t>
      </w:r>
      <w:r>
        <w:t>timely to create this statement to recognise the growing importance of ageing in our world and the important role of social work in later life.</w:t>
      </w:r>
    </w:p>
    <w:p w14:paraId="55F40FD8" w14:textId="4E2F4C69" w:rsidR="00AC7194" w:rsidRPr="00453188" w:rsidRDefault="00AC7194" w:rsidP="00AC7194">
      <w:r w:rsidRPr="00453188">
        <w:t>Globally the population of people aged 60 years and over has doubled since 1995 from 541 million to 1.2 billion. By 2050, the world’s population of people aged 60 years and older will double again to 2.1 billion</w:t>
      </w:r>
      <w:r>
        <w:t xml:space="preserve">. </w:t>
      </w:r>
      <w:r w:rsidRPr="00453188">
        <w:t>This marks a change to the make-up of our societies and, therefore, to the way in which social work engages with individual and communities.</w:t>
      </w:r>
      <w:r>
        <w:t xml:space="preserve"> </w:t>
      </w:r>
      <w:r w:rsidRPr="00453188">
        <w:t>This is a global change. Although the shift started in higher-income countries, it is increasingly affecting lower-income countries</w:t>
      </w:r>
      <w:r>
        <w:t xml:space="preserve"> (WHO, 2026)</w:t>
      </w:r>
      <w:r w:rsidRPr="00453188">
        <w:t>.</w:t>
      </w:r>
    </w:p>
    <w:p w14:paraId="788870D8" w14:textId="65FB9BBF" w:rsidR="00F80204" w:rsidRDefault="00F80204" w:rsidP="00F80204">
      <w:r w:rsidRPr="00453188">
        <w:t>This is a success story</w:t>
      </w:r>
      <w:r w:rsidR="003663D3">
        <w:t xml:space="preserve"> and brings opportunities for older people</w:t>
      </w:r>
      <w:r w:rsidR="0062027C">
        <w:t xml:space="preserve">, </w:t>
      </w:r>
      <w:r w:rsidR="003663D3">
        <w:t>families and communities</w:t>
      </w:r>
      <w:r w:rsidR="0062027C">
        <w:t>,</w:t>
      </w:r>
      <w:r w:rsidR="003663D3">
        <w:t xml:space="preserve"> and societies. These opportunities are undermined by poor health and its social determinants, and by ageism and intersecting discrimination (WHO 2026). Social workers have a central role in enabling rights and wellbeing for all</w:t>
      </w:r>
      <w:r w:rsidR="00924BCA">
        <w:t xml:space="preserve"> in later life</w:t>
      </w:r>
      <w:r w:rsidR="003663D3">
        <w:t xml:space="preserve">. </w:t>
      </w:r>
    </w:p>
    <w:p w14:paraId="559BFB28" w14:textId="69CC4DA7" w:rsidR="00774291" w:rsidRPr="00774291" w:rsidRDefault="00774291" w:rsidP="00774291">
      <w:pPr>
        <w:pStyle w:val="Heading1"/>
        <w:rPr>
          <w:rFonts w:ascii="Calibri" w:hAnsi="Calibri" w:cs="Calibri"/>
          <w:b/>
          <w:bCs/>
          <w:color w:val="auto"/>
          <w:sz w:val="24"/>
          <w:szCs w:val="24"/>
        </w:rPr>
      </w:pPr>
      <w:r w:rsidRPr="00774291">
        <w:rPr>
          <w:rFonts w:ascii="Calibri" w:hAnsi="Calibri" w:cs="Calibri"/>
          <w:b/>
          <w:bCs/>
          <w:color w:val="auto"/>
          <w:sz w:val="24"/>
          <w:szCs w:val="24"/>
        </w:rPr>
        <w:t>IFSW’s position on ageing</w:t>
      </w:r>
      <w:r>
        <w:rPr>
          <w:rFonts w:ascii="Calibri" w:hAnsi="Calibri" w:cs="Calibri"/>
          <w:b/>
          <w:bCs/>
          <w:color w:val="auto"/>
          <w:sz w:val="24"/>
          <w:szCs w:val="24"/>
        </w:rPr>
        <w:t xml:space="preserve"> </w:t>
      </w:r>
    </w:p>
    <w:p w14:paraId="1634B4DE" w14:textId="1826FAEF" w:rsidR="00774291" w:rsidRDefault="00774291" w:rsidP="007764CC">
      <w:pPr>
        <w:pStyle w:val="ListParagraph"/>
        <w:numPr>
          <w:ilvl w:val="0"/>
          <w:numId w:val="31"/>
        </w:numPr>
      </w:pPr>
      <w:r>
        <w:t>IFSW celebrates later life and the contribution of older people</w:t>
      </w:r>
      <w:r w:rsidR="007764CC">
        <w:t>.</w:t>
      </w:r>
    </w:p>
    <w:p w14:paraId="6FB3F74F" w14:textId="186D9D17" w:rsidR="007764CC" w:rsidRDefault="003663D3" w:rsidP="00FD1F2A">
      <w:r>
        <w:t xml:space="preserve">It is positive that people are living longer. </w:t>
      </w:r>
      <w:r w:rsidR="00FD1F2A" w:rsidRPr="00453188">
        <w:t>Older people make huge contributions locally and beyond. This includes through caring responsibilities, work, caring for the land and environment, leadership and guardianship of traditions. </w:t>
      </w:r>
      <w:r w:rsidR="00A649FB" w:rsidRPr="00453188">
        <w:t xml:space="preserve">Across the globe, families and communities look to older members for support, </w:t>
      </w:r>
      <w:r w:rsidR="00A649FB">
        <w:t>advice</w:t>
      </w:r>
      <w:r w:rsidR="00A649FB" w:rsidRPr="00453188">
        <w:t xml:space="preserve"> and heritage. </w:t>
      </w:r>
    </w:p>
    <w:p w14:paraId="62E5B016" w14:textId="530B3318" w:rsidR="00A649FB" w:rsidRDefault="00A649FB" w:rsidP="00FD1F2A">
      <w:r>
        <w:t>Older people can be recognised as</w:t>
      </w:r>
      <w:r w:rsidRPr="00453188">
        <w:t xml:space="preserve"> Elders</w:t>
      </w:r>
      <w:r>
        <w:t xml:space="preserve">, who </w:t>
      </w:r>
      <w:r w:rsidRPr="00453188">
        <w:t>bless and give to their communities. Many Indigenous societies revere and respect Elders as teachers and mentors who transmit knowledge, culture, practices, and values in their communities</w:t>
      </w:r>
      <w:r>
        <w:t xml:space="preserve">. </w:t>
      </w:r>
      <w:r w:rsidRPr="00453188">
        <w:t>They continue to display resilience despite many challenges and have gained wisdom that can be passed on from generation to generation</w:t>
      </w:r>
      <w:r>
        <w:t>. (IFSW Indigenous Commission, 2025)</w:t>
      </w:r>
    </w:p>
    <w:p w14:paraId="05314E05" w14:textId="6C40A1DE" w:rsidR="00774291" w:rsidRDefault="00774291" w:rsidP="007764CC">
      <w:pPr>
        <w:pStyle w:val="ListParagraph"/>
        <w:numPr>
          <w:ilvl w:val="0"/>
          <w:numId w:val="31"/>
        </w:numPr>
      </w:pPr>
      <w:r>
        <w:lastRenderedPageBreak/>
        <w:t>IFSW condemns inequity</w:t>
      </w:r>
      <w:r w:rsidR="007764CC">
        <w:t xml:space="preserve"> in later life.</w:t>
      </w:r>
    </w:p>
    <w:p w14:paraId="6597BE64" w14:textId="77777777" w:rsidR="00924BCA" w:rsidRPr="00453188" w:rsidRDefault="00924BCA" w:rsidP="00924BCA">
      <w:r>
        <w:t>Later life</w:t>
      </w:r>
      <w:r w:rsidRPr="00453188">
        <w:t xml:space="preserve"> is marked by inequity</w:t>
      </w:r>
      <w:r>
        <w:t xml:space="preserve"> </w:t>
      </w:r>
      <w:r w:rsidRPr="00453188">
        <w:t>due to the context in which people grew up through their life</w:t>
      </w:r>
      <w:r>
        <w:t xml:space="preserve">, including </w:t>
      </w:r>
      <w:r w:rsidRPr="00453188">
        <w:t xml:space="preserve">cultural expectations and structural discrimination </w:t>
      </w:r>
      <w:r>
        <w:t>(WHO, 2026)</w:t>
      </w:r>
      <w:r w:rsidRPr="00453188">
        <w:t>. Over the life-course the impact of this accumulates so that the life expectancy and likelihood of health varies hugely between and within countries at age 60</w:t>
      </w:r>
      <w:r>
        <w:t xml:space="preserve"> (WHO, 2026c)</w:t>
      </w:r>
      <w:r w:rsidRPr="00453188">
        <w:t xml:space="preserve">. </w:t>
      </w:r>
      <w:r>
        <w:t>O</w:t>
      </w:r>
      <w:r w:rsidRPr="00453188">
        <w:t xml:space="preserve">lder people face particular </w:t>
      </w:r>
      <w:r>
        <w:t xml:space="preserve">and disproportionate </w:t>
      </w:r>
      <w:r w:rsidRPr="00453188">
        <w:t>barriers to wellbeing</w:t>
      </w:r>
      <w:r>
        <w:t xml:space="preserve"> that </w:t>
      </w:r>
      <w:proofErr w:type="gramStart"/>
      <w:r>
        <w:t>include:</w:t>
      </w:r>
      <w:proofErr w:type="gramEnd"/>
      <w:r>
        <w:t xml:space="preserve"> disability; lack of mental capacity; abuse and neglect; poverty; social exclusion; the impact of c</w:t>
      </w:r>
      <w:r w:rsidRPr="00453188">
        <w:t>limate change, natural disasters and war</w:t>
      </w:r>
      <w:r>
        <w:t xml:space="preserve">; abuse and neglect; digital and technological exclusion. (For example Age International, 2025; WHO, 2024; UNECE, 2021.) </w:t>
      </w:r>
    </w:p>
    <w:p w14:paraId="7EA2BC61" w14:textId="78A6F34D" w:rsidR="00453188" w:rsidRDefault="00453188" w:rsidP="00453188">
      <w:r w:rsidRPr="00453188">
        <w:t xml:space="preserve">In later life, people are affected by ageism as a specific form of identity discrimination. </w:t>
      </w:r>
      <w:r w:rsidR="0062027C" w:rsidRPr="00D014DA">
        <w:t xml:space="preserve">Ageism is associated with a shorter lifespan, poorer physical and mental health, slower recovery from disability, cognitive decline, lower quality of life, increased social isolation and loneliness, and restricted ability to express identity. </w:t>
      </w:r>
      <w:r w:rsidR="00A649FB">
        <w:t>Ageism</w:t>
      </w:r>
      <w:r w:rsidR="00D014DA" w:rsidRPr="00D014DA">
        <w:t xml:space="preserve"> occurs widely in social care. </w:t>
      </w:r>
      <w:r w:rsidR="0025453B" w:rsidRPr="00D014DA">
        <w:t>(WHO, 2021).</w:t>
      </w:r>
      <w:r w:rsidR="0025453B">
        <w:t xml:space="preserve"> </w:t>
      </w:r>
    </w:p>
    <w:p w14:paraId="1123E7E3" w14:textId="24B233D4" w:rsidR="00774291" w:rsidRDefault="00774291" w:rsidP="007764CC">
      <w:pPr>
        <w:pStyle w:val="ListParagraph"/>
        <w:numPr>
          <w:ilvl w:val="0"/>
          <w:numId w:val="31"/>
        </w:numPr>
      </w:pPr>
      <w:r>
        <w:t xml:space="preserve">IFSW recognises the importance of ageing in </w:t>
      </w:r>
      <w:r w:rsidR="007764CC">
        <w:t>its policy work.</w:t>
      </w:r>
    </w:p>
    <w:p w14:paraId="4A139E6A" w14:textId="1D01D8EF" w:rsidR="00B23087" w:rsidRPr="00453188" w:rsidRDefault="007764CC" w:rsidP="007764CC">
      <w:r w:rsidRPr="00453188">
        <w:t xml:space="preserve">The principles of the Charter for an Eco-Social World </w:t>
      </w:r>
      <w:r>
        <w:t xml:space="preserve">(People’s Global Summit, 2022) relate to the whole life-course. </w:t>
      </w:r>
      <w:r w:rsidRPr="00453188">
        <w:t xml:space="preserve">Positive ageing </w:t>
      </w:r>
      <w:r w:rsidR="00B23087">
        <w:t xml:space="preserve">is </w:t>
      </w:r>
      <w:r w:rsidRPr="00453188">
        <w:t xml:space="preserve">made more possible by attention to </w:t>
      </w:r>
      <w:r w:rsidR="00B23087" w:rsidRPr="00453188">
        <w:t>the environment</w:t>
      </w:r>
      <w:r w:rsidR="00AC7194">
        <w:t xml:space="preserve"> alongside the social and personal</w:t>
      </w:r>
      <w:r w:rsidR="00B23087" w:rsidRPr="00453188">
        <w:t>.</w:t>
      </w:r>
      <w:r w:rsidR="00B23087">
        <w:t xml:space="preserve"> Elders </w:t>
      </w:r>
      <w:r w:rsidR="00AC7194">
        <w:t xml:space="preserve">offer wisdom, knowledge and energy to help us fulfil the actions set out in the </w:t>
      </w:r>
      <w:r w:rsidR="00B23087">
        <w:t>Charter.</w:t>
      </w:r>
    </w:p>
    <w:p w14:paraId="5D462EC5" w14:textId="62F6E44F" w:rsidR="007764CC" w:rsidRDefault="007764CC" w:rsidP="007764CC">
      <w:r>
        <w:t xml:space="preserve">IFSW recognises care as a central pillar of inclusive and thriving societies (IFSW 2026) and considers ageing as part of this. In later life people may require care; and people in later life, particularly women, make a significant contribution to care provision. </w:t>
      </w:r>
    </w:p>
    <w:p w14:paraId="6BDC95B2" w14:textId="79D18E0C" w:rsidR="00AC7194" w:rsidRDefault="00AC7194" w:rsidP="00AC7194">
      <w:r>
        <w:t xml:space="preserve">IFSW recognises that to be truly inclusive, work to achieve the </w:t>
      </w:r>
      <w:r w:rsidRPr="00453188">
        <w:t>Sustainable Development Goal</w:t>
      </w:r>
      <w:r>
        <w:t xml:space="preserve">s must involve older people and that social workers can advocate for and facilitate this. </w:t>
      </w:r>
      <w:r w:rsidR="007764CC" w:rsidRPr="00453188">
        <w:t xml:space="preserve">The UN decade of healthy ageing </w:t>
      </w:r>
      <w:r w:rsidR="007764CC">
        <w:t xml:space="preserve">(UN, 2021) </w:t>
      </w:r>
      <w:r w:rsidR="007764CC" w:rsidRPr="00453188">
        <w:t>builds on</w:t>
      </w:r>
      <w:r w:rsidR="007764CC">
        <w:t xml:space="preserve"> the</w:t>
      </w:r>
      <w:r w:rsidR="007764CC" w:rsidRPr="00453188">
        <w:t xml:space="preserve"> Sustainable Development Goal </w:t>
      </w:r>
      <w:r w:rsidR="007764CC">
        <w:t>for health</w:t>
      </w:r>
      <w:r w:rsidR="007764CC" w:rsidRPr="00453188">
        <w:t xml:space="preserve"> to highlight the importance of four areas </w:t>
      </w:r>
      <w:r>
        <w:t>that are closely linked to social work</w:t>
      </w:r>
      <w:r w:rsidR="007764CC">
        <w:t>: age-friendly environments; integrated care; long-term care; and combatting ageism. IFSW’s commitment to the Sustainable Development Goal</w:t>
      </w:r>
      <w:r w:rsidR="00B23087">
        <w:t>s</w:t>
      </w:r>
      <w:r w:rsidR="007764CC">
        <w:t xml:space="preserve"> incorporates a commitment to social work’s role in promoting healthy ageing. </w:t>
      </w:r>
    </w:p>
    <w:p w14:paraId="5EA1FD3F" w14:textId="682EF0E6" w:rsidR="007764CC" w:rsidRDefault="007764CC" w:rsidP="00AC7194">
      <w:pPr>
        <w:pStyle w:val="ListParagraph"/>
        <w:numPr>
          <w:ilvl w:val="0"/>
          <w:numId w:val="31"/>
        </w:numPr>
      </w:pPr>
      <w:r>
        <w:t>IFSW recognises the importance of social work in later life.</w:t>
      </w:r>
    </w:p>
    <w:p w14:paraId="7886423D" w14:textId="5239DEC4" w:rsidR="00774291" w:rsidRDefault="00F80204" w:rsidP="00774291">
      <w:r w:rsidRPr="00453188">
        <w:t xml:space="preserve">As a human-rights profession, social work is able to play a strong role in improving the rights and wellbeing of older people across the globe. Social work offers a clear purpose, ethics and capabilities to respond to the potential of an ageing population. The profession can act as a role model and support to others. </w:t>
      </w:r>
      <w:r w:rsidR="00A649FB">
        <w:t>Social workers</w:t>
      </w:r>
      <w:r w:rsidRPr="00453188">
        <w:t xml:space="preserve"> can create alliances with older people to overcome ageism and enable everyone to flourish and achieve their maximum capability.</w:t>
      </w:r>
    </w:p>
    <w:p w14:paraId="46E6D68D" w14:textId="77777777" w:rsidR="007764CC" w:rsidRPr="00A41467" w:rsidRDefault="007764CC" w:rsidP="007764CC">
      <w:pPr>
        <w:pStyle w:val="Heading1"/>
        <w:rPr>
          <w:rFonts w:ascii="Calibri" w:hAnsi="Calibri" w:cs="Calibri"/>
          <w:b/>
          <w:bCs/>
          <w:color w:val="auto"/>
          <w:sz w:val="24"/>
          <w:szCs w:val="24"/>
        </w:rPr>
      </w:pPr>
      <w:r>
        <w:rPr>
          <w:rFonts w:ascii="Calibri" w:hAnsi="Calibri" w:cs="Calibri"/>
          <w:b/>
          <w:bCs/>
          <w:color w:val="auto"/>
          <w:sz w:val="24"/>
          <w:szCs w:val="24"/>
        </w:rPr>
        <w:t>IFSW’s commitment to social work in later life</w:t>
      </w:r>
    </w:p>
    <w:p w14:paraId="6D31EDC8" w14:textId="47E88B5F" w:rsidR="00E05BBC" w:rsidRDefault="00E05BBC" w:rsidP="00E05BBC">
      <w:r w:rsidRPr="00453188">
        <w:t>There are three parts to this:</w:t>
      </w:r>
    </w:p>
    <w:p w14:paraId="31507925" w14:textId="438CDAF0" w:rsidR="00E05BBC" w:rsidRDefault="007764CC" w:rsidP="007764CC">
      <w:pPr>
        <w:pStyle w:val="ListParagraph"/>
        <w:numPr>
          <w:ilvl w:val="0"/>
          <w:numId w:val="32"/>
        </w:numPr>
      </w:pPr>
      <w:r w:rsidRPr="007764CC">
        <w:rPr>
          <w:b/>
          <w:bCs/>
        </w:rPr>
        <w:t>S</w:t>
      </w:r>
      <w:r w:rsidR="00E05BBC" w:rsidRPr="007764CC">
        <w:rPr>
          <w:b/>
          <w:bCs/>
        </w:rPr>
        <w:t>ocial work practice</w:t>
      </w:r>
      <w:r w:rsidR="00E05BBC" w:rsidRPr="00453188">
        <w:t xml:space="preserve"> that is relationship-based, strengths-based, anti-ageist and intersectional, and takes a life-course approach. </w:t>
      </w:r>
    </w:p>
    <w:p w14:paraId="074B5DD3" w14:textId="65E625E5" w:rsidR="00E05BBC" w:rsidRPr="00453188" w:rsidRDefault="007764CC" w:rsidP="007764CC">
      <w:pPr>
        <w:pStyle w:val="ListParagraph"/>
        <w:numPr>
          <w:ilvl w:val="0"/>
          <w:numId w:val="32"/>
        </w:numPr>
      </w:pPr>
      <w:r w:rsidRPr="007764CC">
        <w:rPr>
          <w:b/>
          <w:bCs/>
        </w:rPr>
        <w:t>C</w:t>
      </w:r>
      <w:r w:rsidR="00E05BBC" w:rsidRPr="007764CC">
        <w:rPr>
          <w:b/>
          <w:bCs/>
        </w:rPr>
        <w:t>hallenging ageism</w:t>
      </w:r>
      <w:r w:rsidR="00E05BBC" w:rsidRPr="00453188">
        <w:t xml:space="preserve">. </w:t>
      </w:r>
    </w:p>
    <w:p w14:paraId="2C163CCC" w14:textId="643E931B" w:rsidR="0050527D" w:rsidRDefault="007764CC" w:rsidP="00E05BBC">
      <w:pPr>
        <w:pStyle w:val="ListParagraph"/>
        <w:numPr>
          <w:ilvl w:val="0"/>
          <w:numId w:val="32"/>
        </w:numPr>
      </w:pPr>
      <w:r>
        <w:rPr>
          <w:b/>
          <w:bCs/>
        </w:rPr>
        <w:lastRenderedPageBreak/>
        <w:t>A</w:t>
      </w:r>
      <w:r w:rsidR="00E05BBC" w:rsidRPr="007764CC">
        <w:rPr>
          <w:b/>
          <w:bCs/>
        </w:rPr>
        <w:t>cting as allies</w:t>
      </w:r>
      <w:r w:rsidR="00E05BBC" w:rsidRPr="00453188">
        <w:t xml:space="preserve"> in collaboration and co-production with older people, particularly those from minoritised groups, in order to improve the experiences and outcomes of people in later life. </w:t>
      </w:r>
    </w:p>
    <w:p w14:paraId="6C273BA7" w14:textId="116654A3" w:rsidR="0050527D" w:rsidRDefault="0050527D" w:rsidP="00923986">
      <w:r>
        <w:t>This statement will support IFSW’s work in advocating for a holistic eco-social UN Convention on the Rights of Older Persons.</w:t>
      </w:r>
    </w:p>
    <w:p w14:paraId="2751E75A" w14:textId="008FEA25" w:rsidR="00E05BBC" w:rsidRPr="00453188" w:rsidRDefault="007764CC" w:rsidP="00E05BBC">
      <w:r>
        <w:t>In support of rights and wellbeing in later life, IFSW will:</w:t>
      </w:r>
    </w:p>
    <w:p w14:paraId="0C2525D0" w14:textId="77777777" w:rsidR="00E05BBC" w:rsidRPr="00453188" w:rsidRDefault="00E05BBC" w:rsidP="00966BCA">
      <w:pPr>
        <w:pStyle w:val="ListParagraph"/>
        <w:numPr>
          <w:ilvl w:val="0"/>
          <w:numId w:val="29"/>
        </w:numPr>
      </w:pPr>
      <w:r w:rsidRPr="00453188">
        <w:t>Challenge ageism internally in social work and externally in global discussion.</w:t>
      </w:r>
    </w:p>
    <w:p w14:paraId="0828664C" w14:textId="7EA315E8" w:rsidR="00E05BBC" w:rsidRPr="00453188" w:rsidRDefault="00E05BBC" w:rsidP="00966BCA">
      <w:pPr>
        <w:pStyle w:val="ListParagraph"/>
        <w:numPr>
          <w:ilvl w:val="0"/>
          <w:numId w:val="29"/>
        </w:numPr>
      </w:pPr>
      <w:r w:rsidRPr="00453188">
        <w:t xml:space="preserve">Advocate for human rights and social justice </w:t>
      </w:r>
      <w:r w:rsidR="007764CC">
        <w:t>for older people</w:t>
      </w:r>
      <w:r w:rsidRPr="00453188">
        <w:t>.</w:t>
      </w:r>
    </w:p>
    <w:p w14:paraId="59B9A040" w14:textId="77777777" w:rsidR="00E05BBC" w:rsidRPr="00453188" w:rsidRDefault="00E05BBC" w:rsidP="00966BCA">
      <w:pPr>
        <w:pStyle w:val="ListParagraph"/>
        <w:numPr>
          <w:ilvl w:val="0"/>
          <w:numId w:val="29"/>
        </w:numPr>
      </w:pPr>
      <w:r w:rsidRPr="00453188">
        <w:t>Promote education and professional development for social work in later life.</w:t>
      </w:r>
    </w:p>
    <w:p w14:paraId="67E824B0" w14:textId="295EDDFF" w:rsidR="000812CC" w:rsidRDefault="00E05BBC" w:rsidP="000812CC">
      <w:pPr>
        <w:pStyle w:val="ListParagraph"/>
        <w:numPr>
          <w:ilvl w:val="0"/>
          <w:numId w:val="29"/>
        </w:numPr>
      </w:pPr>
      <w:r w:rsidRPr="00453188">
        <w:t>Promote and support the role of social work in later life internationally.</w:t>
      </w:r>
    </w:p>
    <w:p w14:paraId="3DC98DBC" w14:textId="2334E4B9" w:rsidR="00A649FB" w:rsidRPr="00453188" w:rsidRDefault="00A649FB" w:rsidP="00A649FB">
      <w:pPr>
        <w:pStyle w:val="ListParagraph"/>
        <w:numPr>
          <w:ilvl w:val="0"/>
          <w:numId w:val="29"/>
        </w:numPr>
      </w:pPr>
      <w:r w:rsidRPr="00453188">
        <w:t xml:space="preserve">Contribute to global work to improve experiences of ageing, to promote ageing with rights and to create a </w:t>
      </w:r>
      <w:r>
        <w:t>UN Convention on the Rights of Older Persons</w:t>
      </w:r>
      <w:r w:rsidRPr="00453188">
        <w:t>. </w:t>
      </w:r>
    </w:p>
    <w:p w14:paraId="22DDFEEE" w14:textId="5BC88B95" w:rsidR="00B23087" w:rsidRDefault="00B23087" w:rsidP="00774291">
      <w:r>
        <w:t>IFSW asks members to:</w:t>
      </w:r>
    </w:p>
    <w:p w14:paraId="67942FA2" w14:textId="49E3BAB3" w:rsidR="00B23087" w:rsidRDefault="00B23087" w:rsidP="0050527D">
      <w:pPr>
        <w:pStyle w:val="ListParagraph"/>
        <w:numPr>
          <w:ilvl w:val="0"/>
          <w:numId w:val="33"/>
        </w:numPr>
      </w:pPr>
      <w:r>
        <w:t>Support the development of a UN Convention on the Rights of Older Persons at a local level.</w:t>
      </w:r>
    </w:p>
    <w:p w14:paraId="444792F4" w14:textId="1C97A2BA" w:rsidR="00B23087" w:rsidRDefault="00B23087" w:rsidP="0050527D">
      <w:pPr>
        <w:pStyle w:val="ListParagraph"/>
        <w:numPr>
          <w:ilvl w:val="0"/>
          <w:numId w:val="33"/>
        </w:numPr>
      </w:pPr>
      <w:r>
        <w:t xml:space="preserve">Contribute to the work of the IFSW UN Commission </w:t>
      </w:r>
      <w:r w:rsidR="0050527D">
        <w:t>in advocating for the Convention and for the importance of social work in later life.</w:t>
      </w:r>
    </w:p>
    <w:p w14:paraId="5A7BE217" w14:textId="078FABAB" w:rsidR="00B23087" w:rsidRDefault="00B23087" w:rsidP="00774291">
      <w:r>
        <w:t>The Global Policy will be reviewed following the introduction of a convention.</w:t>
      </w:r>
    </w:p>
    <w:p w14:paraId="1F61FB0D" w14:textId="77777777" w:rsidR="007764CC" w:rsidRDefault="007764CC" w:rsidP="00453188">
      <w:pPr>
        <w:rPr>
          <w:b/>
          <w:bCs/>
        </w:rPr>
      </w:pPr>
    </w:p>
    <w:p w14:paraId="41294FEE" w14:textId="139D94CB" w:rsidR="00453188" w:rsidRPr="00453188" w:rsidRDefault="00453188" w:rsidP="00453188">
      <w:r w:rsidRPr="00453188">
        <w:rPr>
          <w:b/>
          <w:bCs/>
        </w:rPr>
        <w:t>Date</w:t>
      </w:r>
      <w:r w:rsidRPr="00453188">
        <w:rPr>
          <w:b/>
          <w:bCs/>
        </w:rPr>
        <w:tab/>
      </w:r>
      <w:r w:rsidRPr="00453188">
        <w:tab/>
      </w:r>
      <w:r w:rsidR="00774291">
        <w:t xml:space="preserve">May </w:t>
      </w:r>
      <w:r w:rsidRPr="00453188">
        <w:t>2026</w:t>
      </w:r>
    </w:p>
    <w:p w14:paraId="68EC3460" w14:textId="6850E6AA" w:rsidR="00453188" w:rsidRDefault="00453188" w:rsidP="00453188">
      <w:r w:rsidRPr="00453188">
        <w:rPr>
          <w:b/>
          <w:bCs/>
        </w:rPr>
        <w:t>Review</w:t>
      </w:r>
      <w:r w:rsidRPr="00453188">
        <w:rPr>
          <w:b/>
          <w:bCs/>
        </w:rPr>
        <w:tab/>
      </w:r>
      <w:r w:rsidRPr="00453188">
        <w:tab/>
      </w:r>
      <w:r w:rsidR="00B23087">
        <w:t>2028</w:t>
      </w:r>
    </w:p>
    <w:p w14:paraId="64AAC11E" w14:textId="77777777" w:rsidR="00924BCA" w:rsidRDefault="00924BCA" w:rsidP="00453188"/>
    <w:p w14:paraId="20C20B04" w14:textId="1CF0FFA5" w:rsidR="00924BCA" w:rsidRPr="00924BCA" w:rsidRDefault="00924BCA" w:rsidP="00453188">
      <w:pPr>
        <w:rPr>
          <w:i/>
          <w:iCs/>
        </w:rPr>
      </w:pPr>
      <w:r w:rsidRPr="0050527D">
        <w:rPr>
          <w:i/>
          <w:iCs/>
        </w:rPr>
        <w:t>For further information or to support the work on the Contention and the importance of social work in late life, members can contact Geraldine Nosowska (</w:t>
      </w:r>
      <w:hyperlink r:id="rId5" w:history="1">
        <w:r w:rsidRPr="0050527D">
          <w:rPr>
            <w:rStyle w:val="Hyperlink"/>
            <w:i/>
            <w:iCs/>
          </w:rPr>
          <w:t>gerry@effective-practice.com</w:t>
        </w:r>
      </w:hyperlink>
      <w:r w:rsidRPr="0050527D">
        <w:rPr>
          <w:i/>
          <w:iCs/>
        </w:rPr>
        <w:t xml:space="preserve">) who is the lead </w:t>
      </w:r>
      <w:r>
        <w:rPr>
          <w:i/>
          <w:iCs/>
        </w:rPr>
        <w:t>for</w:t>
      </w:r>
      <w:r w:rsidRPr="0050527D">
        <w:rPr>
          <w:i/>
          <w:iCs/>
        </w:rPr>
        <w:t xml:space="preserve"> ageing in the UN Commission support team. </w:t>
      </w:r>
    </w:p>
    <w:p w14:paraId="3566FD07" w14:textId="77777777" w:rsidR="0050527D" w:rsidRPr="007B4818" w:rsidRDefault="00B23087" w:rsidP="0050527D">
      <w:r>
        <w:rPr>
          <w:b/>
          <w:bCs/>
        </w:rPr>
        <w:br w:type="page"/>
      </w:r>
      <w:r w:rsidR="0050527D" w:rsidRPr="007B4818">
        <w:rPr>
          <w:b/>
          <w:bCs/>
        </w:rPr>
        <w:lastRenderedPageBreak/>
        <w:t>References</w:t>
      </w:r>
    </w:p>
    <w:p w14:paraId="4B05D2AE" w14:textId="77777777" w:rsidR="0050527D" w:rsidRPr="007B4818" w:rsidRDefault="0050527D" w:rsidP="0050527D">
      <w:r w:rsidRPr="007B4818">
        <w:t xml:space="preserve">Age International (2025) </w:t>
      </w:r>
      <w:r w:rsidRPr="007B4818">
        <w:rPr>
          <w:i/>
          <w:iCs/>
        </w:rPr>
        <w:t>Global ageing</w:t>
      </w:r>
      <w:r w:rsidRPr="007B4818">
        <w:t xml:space="preserve">, </w:t>
      </w:r>
      <w:hyperlink r:id="rId6" w:history="1">
        <w:r w:rsidRPr="007B4818">
          <w:rPr>
            <w:rStyle w:val="Hyperlink"/>
          </w:rPr>
          <w:t>https://www.ageinternational.org.uk/policy-research/statistics/global-ageing/</w:t>
        </w:r>
      </w:hyperlink>
      <w:r w:rsidRPr="007B4818">
        <w:t>, accessed 23 January 2026.</w:t>
      </w:r>
    </w:p>
    <w:p w14:paraId="39702E95" w14:textId="77777777" w:rsidR="0050527D" w:rsidRPr="007B4818" w:rsidRDefault="0050527D" w:rsidP="0050527D">
      <w:r w:rsidRPr="007B4818">
        <w:t xml:space="preserve">IFSW (2014) </w:t>
      </w:r>
      <w:r w:rsidRPr="007B4818">
        <w:rPr>
          <w:i/>
          <w:iCs/>
        </w:rPr>
        <w:t>Global Definition of the Social Work Profession</w:t>
      </w:r>
      <w:r w:rsidRPr="007B4818">
        <w:t xml:space="preserve">, </w:t>
      </w:r>
      <w:hyperlink r:id="rId7" w:history="1">
        <w:r w:rsidRPr="007B4818">
          <w:rPr>
            <w:rStyle w:val="Hyperlink"/>
          </w:rPr>
          <w:t>https://www.ifsw.org/what-is-social-work/global-definition-of-social-work/</w:t>
        </w:r>
      </w:hyperlink>
      <w:r w:rsidRPr="007B4818">
        <w:t>, accessed 23 January 2026.</w:t>
      </w:r>
    </w:p>
    <w:p w14:paraId="1FB7EE03" w14:textId="77777777" w:rsidR="0050527D" w:rsidRPr="007B4818" w:rsidRDefault="0050527D" w:rsidP="0050527D">
      <w:r w:rsidRPr="007B4818">
        <w:t xml:space="preserve">IFSW Indigenous Commission (2025) </w:t>
      </w:r>
      <w:r w:rsidRPr="007B4818">
        <w:rPr>
          <w:i/>
          <w:iCs/>
        </w:rPr>
        <w:t>International Day of Older Persons 2025 – Older Persons Driving Local and Global Action: Our Aspirations, Our Wellbeing, Our Rights</w:t>
      </w:r>
      <w:r w:rsidRPr="007B4818">
        <w:t xml:space="preserve">, </w:t>
      </w:r>
      <w:hyperlink r:id="rId8" w:history="1">
        <w:r w:rsidRPr="007B4818">
          <w:rPr>
            <w:rStyle w:val="Hyperlink"/>
          </w:rPr>
          <w:t>https://www.ifsw.org/international-day-of-older-persons-2025-older-persons-driving-local-and-global-action-our-aspirations-our-wellbeing-our-rights/</w:t>
        </w:r>
      </w:hyperlink>
      <w:r w:rsidRPr="007B4818">
        <w:t>, accessed 23 January 2026.</w:t>
      </w:r>
    </w:p>
    <w:p w14:paraId="6E32A16F" w14:textId="77777777" w:rsidR="0050527D" w:rsidRPr="007B4818" w:rsidRDefault="0050527D" w:rsidP="0050527D">
      <w:pPr>
        <w:rPr>
          <w:i/>
          <w:iCs/>
        </w:rPr>
      </w:pPr>
      <w:r w:rsidRPr="007B4818">
        <w:t xml:space="preserve">IFSW (2026) </w:t>
      </w:r>
      <w:r w:rsidRPr="007B4818">
        <w:rPr>
          <w:i/>
          <w:iCs/>
        </w:rPr>
        <w:t>Co-creating Social Care and Support Systems: A Social Work Approach, policy position paper [unpublished]</w:t>
      </w:r>
    </w:p>
    <w:p w14:paraId="27680FF1" w14:textId="77777777" w:rsidR="0050527D" w:rsidRPr="007B4818" w:rsidRDefault="0050527D" w:rsidP="0050527D">
      <w:r w:rsidRPr="007B4818">
        <w:t xml:space="preserve">People’s Global Summit (2022) </w:t>
      </w:r>
      <w:r w:rsidRPr="007B4818">
        <w:rPr>
          <w:i/>
          <w:iCs/>
        </w:rPr>
        <w:t>The People’s Charter for an Eco-Social World</w:t>
      </w:r>
      <w:r w:rsidRPr="007B4818">
        <w:t xml:space="preserve">, </w:t>
      </w:r>
      <w:hyperlink r:id="rId9" w:history="1">
        <w:r w:rsidRPr="007B4818">
          <w:rPr>
            <w:rStyle w:val="Hyperlink"/>
          </w:rPr>
          <w:t>https://newecosocialworld.com/the-peoples-charter-for-an-eco-social-world/</w:t>
        </w:r>
      </w:hyperlink>
      <w:r w:rsidRPr="007B4818">
        <w:t>, accessed 23 January 2026.</w:t>
      </w:r>
    </w:p>
    <w:p w14:paraId="5E386AB0" w14:textId="77777777" w:rsidR="0050527D" w:rsidRPr="007B4818" w:rsidRDefault="0050527D" w:rsidP="0050527D">
      <w:r w:rsidRPr="007B4818">
        <w:t xml:space="preserve">UN (2021) </w:t>
      </w:r>
      <w:r w:rsidRPr="007B4818">
        <w:rPr>
          <w:i/>
          <w:iCs/>
        </w:rPr>
        <w:t>UN Decade of Healthy Ageing</w:t>
      </w:r>
      <w:r w:rsidRPr="007B4818">
        <w:t xml:space="preserve">, </w:t>
      </w:r>
      <w:hyperlink r:id="rId10" w:history="1">
        <w:r w:rsidRPr="007B4818">
          <w:rPr>
            <w:rStyle w:val="Hyperlink"/>
          </w:rPr>
          <w:t>https://www.decadeofhealthyageing.org/</w:t>
        </w:r>
      </w:hyperlink>
      <w:r w:rsidRPr="007B4818">
        <w:t>, accessed 23 January 2026.</w:t>
      </w:r>
    </w:p>
    <w:p w14:paraId="3561CF7C" w14:textId="77777777" w:rsidR="0050527D" w:rsidRPr="007B4818" w:rsidRDefault="0050527D" w:rsidP="0050527D">
      <w:pPr>
        <w:rPr>
          <w:b/>
          <w:bCs/>
        </w:rPr>
      </w:pPr>
      <w:r w:rsidRPr="007B4818">
        <w:t xml:space="preserve">UNECE (2021) </w:t>
      </w:r>
      <w:r w:rsidRPr="007B4818">
        <w:rPr>
          <w:i/>
          <w:iCs/>
        </w:rPr>
        <w:t>Ageing in the digital era – UNECE highlights key actions to ensure digital inclusion of older persons</w:t>
      </w:r>
      <w:r w:rsidRPr="007B4818">
        <w:t xml:space="preserve">, </w:t>
      </w:r>
      <w:hyperlink r:id="rId11" w:history="1">
        <w:r w:rsidRPr="007B4818">
          <w:rPr>
            <w:rStyle w:val="Hyperlink"/>
          </w:rPr>
          <w:t>https://unece.org/digitalization/press/ageing-digital-era-unece-highlights-key-actions-ensure-digital-inclusion-older</w:t>
        </w:r>
      </w:hyperlink>
      <w:r w:rsidRPr="007B4818">
        <w:t>, accessed 23 January 2026.</w:t>
      </w:r>
    </w:p>
    <w:p w14:paraId="046190F5" w14:textId="77777777" w:rsidR="0050527D" w:rsidRPr="007B4818" w:rsidRDefault="0050527D" w:rsidP="0050527D">
      <w:r w:rsidRPr="007B4818">
        <w:t xml:space="preserve">WHO (2021) </w:t>
      </w:r>
      <w:r w:rsidRPr="007B4818">
        <w:rPr>
          <w:i/>
          <w:iCs/>
        </w:rPr>
        <w:t>Global Report on Ageism</w:t>
      </w:r>
      <w:r w:rsidRPr="007B4818">
        <w:t xml:space="preserve">, </w:t>
      </w:r>
      <w:hyperlink r:id="rId12" w:history="1">
        <w:r w:rsidRPr="007B4818">
          <w:rPr>
            <w:rStyle w:val="Hyperlink"/>
          </w:rPr>
          <w:t>https://www.who.int/teams/social-determinants-of-health/demographic-change-and-healthy-ageing/combatting-ageism/global-report-on-ageism</w:t>
        </w:r>
      </w:hyperlink>
      <w:r w:rsidRPr="007B4818">
        <w:t>, accessed 23 January 2026.</w:t>
      </w:r>
    </w:p>
    <w:p w14:paraId="2E02B05E" w14:textId="77777777" w:rsidR="0050527D" w:rsidRPr="007B4818" w:rsidRDefault="0050527D" w:rsidP="0050527D">
      <w:r w:rsidRPr="007B4818">
        <w:t xml:space="preserve">WHO (2024) </w:t>
      </w:r>
      <w:r w:rsidRPr="007B4818">
        <w:rPr>
          <w:i/>
          <w:iCs/>
        </w:rPr>
        <w:t>Abuse of older people</w:t>
      </w:r>
      <w:r w:rsidRPr="007B4818">
        <w:t xml:space="preserve">, </w:t>
      </w:r>
      <w:hyperlink r:id="rId13" w:history="1">
        <w:r w:rsidRPr="007B4818">
          <w:rPr>
            <w:rStyle w:val="Hyperlink"/>
          </w:rPr>
          <w:t>https://www.who.int/news-room/fact-sheets/detail/abuse-of-older-people</w:t>
        </w:r>
      </w:hyperlink>
      <w:r w:rsidRPr="007B4818">
        <w:t>, accessed 23 January 2026.</w:t>
      </w:r>
    </w:p>
    <w:p w14:paraId="3834C3D1" w14:textId="77777777" w:rsidR="0050527D" w:rsidRPr="007B4818" w:rsidRDefault="0050527D" w:rsidP="0050527D">
      <w:r w:rsidRPr="007B4818">
        <w:t xml:space="preserve">WHO (2026) </w:t>
      </w:r>
      <w:r w:rsidRPr="007B4818">
        <w:rPr>
          <w:i/>
          <w:iCs/>
        </w:rPr>
        <w:t>Ageing and Health</w:t>
      </w:r>
      <w:r w:rsidRPr="007B4818">
        <w:t xml:space="preserve">, </w:t>
      </w:r>
      <w:hyperlink r:id="rId14" w:history="1">
        <w:r w:rsidRPr="007B4818">
          <w:rPr>
            <w:rStyle w:val="Hyperlink"/>
          </w:rPr>
          <w:t>https://www.who.int/news-room/fact-sheets/detail/ageing-and-health</w:t>
        </w:r>
      </w:hyperlink>
      <w:r w:rsidRPr="007B4818">
        <w:t>, accessed 23 January 2026.</w:t>
      </w:r>
    </w:p>
    <w:p w14:paraId="5B48EF35" w14:textId="77777777" w:rsidR="0050527D" w:rsidRPr="007B4818" w:rsidRDefault="0050527D" w:rsidP="0050527D">
      <w:pPr>
        <w:rPr>
          <w:b/>
          <w:bCs/>
        </w:rPr>
      </w:pPr>
      <w:r w:rsidRPr="007B4818">
        <w:t xml:space="preserve">WHO (2026b) </w:t>
      </w:r>
      <w:r w:rsidRPr="007B4818">
        <w:rPr>
          <w:i/>
          <w:iCs/>
        </w:rPr>
        <w:t>Social determinants of health</w:t>
      </w:r>
      <w:r w:rsidRPr="007B4818">
        <w:t xml:space="preserve">, </w:t>
      </w:r>
      <w:hyperlink r:id="rId15" w:anchor="tab=tab_1" w:history="1">
        <w:r w:rsidRPr="007B4818">
          <w:rPr>
            <w:rStyle w:val="Hyperlink"/>
          </w:rPr>
          <w:t>https://www.who.int/health-topics/social-determinants-of-health#tab=tab_1</w:t>
        </w:r>
      </w:hyperlink>
      <w:r w:rsidRPr="007B4818">
        <w:t>, accessed 23 January 2026.</w:t>
      </w:r>
    </w:p>
    <w:p w14:paraId="0827053D" w14:textId="0516FDD0" w:rsidR="00B23087" w:rsidRPr="0050527D" w:rsidRDefault="0050527D">
      <w:r w:rsidRPr="007B4818">
        <w:t xml:space="preserve">WHO (2026c) </w:t>
      </w:r>
      <w:r w:rsidRPr="007B4818">
        <w:rPr>
          <w:i/>
          <w:iCs/>
        </w:rPr>
        <w:t>Life expectancy at age 60 (years)</w:t>
      </w:r>
      <w:r w:rsidRPr="007B4818">
        <w:t xml:space="preserve">, </w:t>
      </w:r>
      <w:hyperlink r:id="rId16" w:history="1">
        <w:r w:rsidRPr="007B4818">
          <w:rPr>
            <w:rStyle w:val="Hyperlink"/>
          </w:rPr>
          <w:t>https://www.who.int/data/gho/data/indicators/indicator-details/GHO/life-expectancy-at-age-60-(years)</w:t>
        </w:r>
      </w:hyperlink>
      <w:r w:rsidRPr="007B4818">
        <w:t>, accessed 23 January 2026.</w:t>
      </w:r>
    </w:p>
    <w:sectPr w:rsidR="00B23087" w:rsidRPr="005052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187"/>
    <w:multiLevelType w:val="multilevel"/>
    <w:tmpl w:val="7CC8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50596"/>
    <w:multiLevelType w:val="multilevel"/>
    <w:tmpl w:val="E9A6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3F46"/>
    <w:multiLevelType w:val="hybridMultilevel"/>
    <w:tmpl w:val="6780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51F79"/>
    <w:multiLevelType w:val="multilevel"/>
    <w:tmpl w:val="51C0B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07349"/>
    <w:multiLevelType w:val="multilevel"/>
    <w:tmpl w:val="1748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009A1"/>
    <w:multiLevelType w:val="multilevel"/>
    <w:tmpl w:val="165C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238A6"/>
    <w:multiLevelType w:val="hybridMultilevel"/>
    <w:tmpl w:val="06DA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4C79FD"/>
    <w:multiLevelType w:val="multilevel"/>
    <w:tmpl w:val="8966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07E2C"/>
    <w:multiLevelType w:val="hybridMultilevel"/>
    <w:tmpl w:val="DF380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DC6BBF"/>
    <w:multiLevelType w:val="multilevel"/>
    <w:tmpl w:val="BA96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65166A"/>
    <w:multiLevelType w:val="multilevel"/>
    <w:tmpl w:val="393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4694A"/>
    <w:multiLevelType w:val="hybridMultilevel"/>
    <w:tmpl w:val="FD5C4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5718A9"/>
    <w:multiLevelType w:val="multilevel"/>
    <w:tmpl w:val="9A58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5C2B74"/>
    <w:multiLevelType w:val="multilevel"/>
    <w:tmpl w:val="9616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8E3477"/>
    <w:multiLevelType w:val="multilevel"/>
    <w:tmpl w:val="FF7E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A636A0"/>
    <w:multiLevelType w:val="multilevel"/>
    <w:tmpl w:val="B3C8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C0385F"/>
    <w:multiLevelType w:val="hybridMultilevel"/>
    <w:tmpl w:val="C7B05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EC6165"/>
    <w:multiLevelType w:val="hybridMultilevel"/>
    <w:tmpl w:val="744E6B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AA13389"/>
    <w:multiLevelType w:val="multilevel"/>
    <w:tmpl w:val="A944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FC0DD4"/>
    <w:multiLevelType w:val="multilevel"/>
    <w:tmpl w:val="45B0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048100">
    <w:abstractNumId w:val="10"/>
  </w:num>
  <w:num w:numId="2" w16cid:durableId="1984773535">
    <w:abstractNumId w:val="19"/>
  </w:num>
  <w:num w:numId="3" w16cid:durableId="866987408">
    <w:abstractNumId w:val="9"/>
  </w:num>
  <w:num w:numId="4" w16cid:durableId="916481549">
    <w:abstractNumId w:val="7"/>
  </w:num>
  <w:num w:numId="5" w16cid:durableId="1168642862">
    <w:abstractNumId w:val="15"/>
  </w:num>
  <w:num w:numId="6" w16cid:durableId="1599288870">
    <w:abstractNumId w:val="18"/>
  </w:num>
  <w:num w:numId="7" w16cid:durableId="1119108389">
    <w:abstractNumId w:val="1"/>
  </w:num>
  <w:num w:numId="8" w16cid:durableId="1038890743">
    <w:abstractNumId w:val="0"/>
  </w:num>
  <w:num w:numId="9" w16cid:durableId="1530216692">
    <w:abstractNumId w:val="14"/>
  </w:num>
  <w:num w:numId="10" w16cid:durableId="956259414">
    <w:abstractNumId w:val="3"/>
  </w:num>
  <w:num w:numId="11" w16cid:durableId="635527341">
    <w:abstractNumId w:val="3"/>
    <w:lvlOverride w:ilvl="1">
      <w:lvl w:ilvl="1">
        <w:numFmt w:val="bullet"/>
        <w:lvlText w:val=""/>
        <w:lvlJc w:val="left"/>
        <w:pPr>
          <w:tabs>
            <w:tab w:val="num" w:pos="1440"/>
          </w:tabs>
          <w:ind w:left="1440" w:hanging="360"/>
        </w:pPr>
        <w:rPr>
          <w:rFonts w:ascii="Symbol" w:hAnsi="Symbol" w:hint="default"/>
          <w:sz w:val="20"/>
        </w:rPr>
      </w:lvl>
    </w:lvlOverride>
  </w:num>
  <w:num w:numId="12" w16cid:durableId="1761488432">
    <w:abstractNumId w:val="3"/>
    <w:lvlOverride w:ilvl="1">
      <w:lvl w:ilvl="1">
        <w:numFmt w:val="bullet"/>
        <w:lvlText w:val=""/>
        <w:lvlJc w:val="left"/>
        <w:pPr>
          <w:tabs>
            <w:tab w:val="num" w:pos="1440"/>
          </w:tabs>
          <w:ind w:left="1440" w:hanging="360"/>
        </w:pPr>
        <w:rPr>
          <w:rFonts w:ascii="Symbol" w:hAnsi="Symbol" w:hint="default"/>
          <w:sz w:val="20"/>
        </w:rPr>
      </w:lvl>
    </w:lvlOverride>
  </w:num>
  <w:num w:numId="13" w16cid:durableId="482817510">
    <w:abstractNumId w:val="3"/>
    <w:lvlOverride w:ilvl="1">
      <w:lvl w:ilvl="1">
        <w:numFmt w:val="bullet"/>
        <w:lvlText w:val=""/>
        <w:lvlJc w:val="left"/>
        <w:pPr>
          <w:tabs>
            <w:tab w:val="num" w:pos="1440"/>
          </w:tabs>
          <w:ind w:left="1440" w:hanging="360"/>
        </w:pPr>
        <w:rPr>
          <w:rFonts w:ascii="Symbol" w:hAnsi="Symbol" w:hint="default"/>
          <w:sz w:val="20"/>
        </w:rPr>
      </w:lvl>
    </w:lvlOverride>
  </w:num>
  <w:num w:numId="14" w16cid:durableId="1416976229">
    <w:abstractNumId w:val="3"/>
    <w:lvlOverride w:ilvl="1">
      <w:lvl w:ilvl="1">
        <w:numFmt w:val="bullet"/>
        <w:lvlText w:val=""/>
        <w:lvlJc w:val="left"/>
        <w:pPr>
          <w:tabs>
            <w:tab w:val="num" w:pos="1440"/>
          </w:tabs>
          <w:ind w:left="1440" w:hanging="360"/>
        </w:pPr>
        <w:rPr>
          <w:rFonts w:ascii="Symbol" w:hAnsi="Symbol" w:hint="default"/>
          <w:sz w:val="20"/>
        </w:rPr>
      </w:lvl>
    </w:lvlOverride>
  </w:num>
  <w:num w:numId="15" w16cid:durableId="877938002">
    <w:abstractNumId w:val="3"/>
    <w:lvlOverride w:ilvl="1">
      <w:lvl w:ilvl="1">
        <w:numFmt w:val="bullet"/>
        <w:lvlText w:val=""/>
        <w:lvlJc w:val="left"/>
        <w:pPr>
          <w:tabs>
            <w:tab w:val="num" w:pos="1440"/>
          </w:tabs>
          <w:ind w:left="1440" w:hanging="360"/>
        </w:pPr>
        <w:rPr>
          <w:rFonts w:ascii="Symbol" w:hAnsi="Symbol" w:hint="default"/>
          <w:sz w:val="20"/>
        </w:rPr>
      </w:lvl>
    </w:lvlOverride>
  </w:num>
  <w:num w:numId="16" w16cid:durableId="1067798230">
    <w:abstractNumId w:val="3"/>
    <w:lvlOverride w:ilvl="1">
      <w:lvl w:ilvl="1">
        <w:numFmt w:val="bullet"/>
        <w:lvlText w:val=""/>
        <w:lvlJc w:val="left"/>
        <w:pPr>
          <w:tabs>
            <w:tab w:val="num" w:pos="1440"/>
          </w:tabs>
          <w:ind w:left="1440" w:hanging="360"/>
        </w:pPr>
        <w:rPr>
          <w:rFonts w:ascii="Symbol" w:hAnsi="Symbol" w:hint="default"/>
          <w:sz w:val="20"/>
        </w:rPr>
      </w:lvl>
    </w:lvlOverride>
  </w:num>
  <w:num w:numId="17" w16cid:durableId="1803500836">
    <w:abstractNumId w:val="3"/>
    <w:lvlOverride w:ilvl="1">
      <w:lvl w:ilvl="1">
        <w:numFmt w:val="bullet"/>
        <w:lvlText w:val=""/>
        <w:lvlJc w:val="left"/>
        <w:pPr>
          <w:tabs>
            <w:tab w:val="num" w:pos="1440"/>
          </w:tabs>
          <w:ind w:left="1440" w:hanging="360"/>
        </w:pPr>
        <w:rPr>
          <w:rFonts w:ascii="Symbol" w:hAnsi="Symbol" w:hint="default"/>
          <w:sz w:val="20"/>
        </w:rPr>
      </w:lvl>
    </w:lvlOverride>
  </w:num>
  <w:num w:numId="18" w16cid:durableId="527983647">
    <w:abstractNumId w:val="3"/>
    <w:lvlOverride w:ilvl="1">
      <w:lvl w:ilvl="1">
        <w:numFmt w:val="bullet"/>
        <w:lvlText w:val=""/>
        <w:lvlJc w:val="left"/>
        <w:pPr>
          <w:tabs>
            <w:tab w:val="num" w:pos="1440"/>
          </w:tabs>
          <w:ind w:left="1440" w:hanging="360"/>
        </w:pPr>
        <w:rPr>
          <w:rFonts w:ascii="Symbol" w:hAnsi="Symbol" w:hint="default"/>
          <w:sz w:val="20"/>
        </w:rPr>
      </w:lvl>
    </w:lvlOverride>
  </w:num>
  <w:num w:numId="19" w16cid:durableId="88937112">
    <w:abstractNumId w:val="3"/>
    <w:lvlOverride w:ilvl="1">
      <w:lvl w:ilvl="1">
        <w:numFmt w:val="bullet"/>
        <w:lvlText w:val=""/>
        <w:lvlJc w:val="left"/>
        <w:pPr>
          <w:tabs>
            <w:tab w:val="num" w:pos="1440"/>
          </w:tabs>
          <w:ind w:left="1440" w:hanging="360"/>
        </w:pPr>
        <w:rPr>
          <w:rFonts w:ascii="Symbol" w:hAnsi="Symbol" w:hint="default"/>
          <w:sz w:val="20"/>
        </w:rPr>
      </w:lvl>
    </w:lvlOverride>
  </w:num>
  <w:num w:numId="20" w16cid:durableId="1990595247">
    <w:abstractNumId w:val="3"/>
    <w:lvlOverride w:ilvl="1">
      <w:lvl w:ilvl="1">
        <w:numFmt w:val="bullet"/>
        <w:lvlText w:val=""/>
        <w:lvlJc w:val="left"/>
        <w:pPr>
          <w:tabs>
            <w:tab w:val="num" w:pos="1440"/>
          </w:tabs>
          <w:ind w:left="1440" w:hanging="360"/>
        </w:pPr>
        <w:rPr>
          <w:rFonts w:ascii="Symbol" w:hAnsi="Symbol" w:hint="default"/>
          <w:sz w:val="20"/>
        </w:rPr>
      </w:lvl>
    </w:lvlOverride>
  </w:num>
  <w:num w:numId="21" w16cid:durableId="1475827722">
    <w:abstractNumId w:val="3"/>
    <w:lvlOverride w:ilvl="1">
      <w:lvl w:ilvl="1">
        <w:numFmt w:val="bullet"/>
        <w:lvlText w:val=""/>
        <w:lvlJc w:val="left"/>
        <w:pPr>
          <w:tabs>
            <w:tab w:val="num" w:pos="1440"/>
          </w:tabs>
          <w:ind w:left="1440" w:hanging="360"/>
        </w:pPr>
        <w:rPr>
          <w:rFonts w:ascii="Symbol" w:hAnsi="Symbol" w:hint="default"/>
          <w:sz w:val="20"/>
        </w:rPr>
      </w:lvl>
    </w:lvlOverride>
  </w:num>
  <w:num w:numId="22" w16cid:durableId="378625976">
    <w:abstractNumId w:val="3"/>
    <w:lvlOverride w:ilvl="1">
      <w:lvl w:ilvl="1">
        <w:numFmt w:val="bullet"/>
        <w:lvlText w:val=""/>
        <w:lvlJc w:val="left"/>
        <w:pPr>
          <w:tabs>
            <w:tab w:val="num" w:pos="1440"/>
          </w:tabs>
          <w:ind w:left="1440" w:hanging="360"/>
        </w:pPr>
        <w:rPr>
          <w:rFonts w:ascii="Symbol" w:hAnsi="Symbol" w:hint="default"/>
          <w:sz w:val="20"/>
        </w:rPr>
      </w:lvl>
    </w:lvlOverride>
  </w:num>
  <w:num w:numId="23" w16cid:durableId="1021855541">
    <w:abstractNumId w:val="3"/>
    <w:lvlOverride w:ilvl="1">
      <w:lvl w:ilvl="1">
        <w:numFmt w:val="bullet"/>
        <w:lvlText w:val=""/>
        <w:lvlJc w:val="left"/>
        <w:pPr>
          <w:tabs>
            <w:tab w:val="num" w:pos="1440"/>
          </w:tabs>
          <w:ind w:left="1440" w:hanging="360"/>
        </w:pPr>
        <w:rPr>
          <w:rFonts w:ascii="Symbol" w:hAnsi="Symbol" w:hint="default"/>
          <w:sz w:val="20"/>
        </w:rPr>
      </w:lvl>
    </w:lvlOverride>
  </w:num>
  <w:num w:numId="24" w16cid:durableId="1371801664">
    <w:abstractNumId w:val="3"/>
    <w:lvlOverride w:ilvl="1">
      <w:lvl w:ilvl="1">
        <w:numFmt w:val="bullet"/>
        <w:lvlText w:val=""/>
        <w:lvlJc w:val="left"/>
        <w:pPr>
          <w:tabs>
            <w:tab w:val="num" w:pos="1440"/>
          </w:tabs>
          <w:ind w:left="1440" w:hanging="360"/>
        </w:pPr>
        <w:rPr>
          <w:rFonts w:ascii="Symbol" w:hAnsi="Symbol" w:hint="default"/>
          <w:sz w:val="20"/>
        </w:rPr>
      </w:lvl>
    </w:lvlOverride>
  </w:num>
  <w:num w:numId="25" w16cid:durableId="391731504">
    <w:abstractNumId w:val="13"/>
  </w:num>
  <w:num w:numId="26" w16cid:durableId="319240172">
    <w:abstractNumId w:val="12"/>
  </w:num>
  <w:num w:numId="27" w16cid:durableId="1862821081">
    <w:abstractNumId w:val="4"/>
  </w:num>
  <w:num w:numId="28" w16cid:durableId="1734355530">
    <w:abstractNumId w:val="5"/>
  </w:num>
  <w:num w:numId="29" w16cid:durableId="141241164">
    <w:abstractNumId w:val="6"/>
  </w:num>
  <w:num w:numId="30" w16cid:durableId="1924755882">
    <w:abstractNumId w:val="11"/>
  </w:num>
  <w:num w:numId="31" w16cid:durableId="1076896841">
    <w:abstractNumId w:val="8"/>
  </w:num>
  <w:num w:numId="32" w16cid:durableId="1365329748">
    <w:abstractNumId w:val="2"/>
  </w:num>
  <w:num w:numId="33" w16cid:durableId="1872572511">
    <w:abstractNumId w:val="16"/>
  </w:num>
  <w:num w:numId="34" w16cid:durableId="17639903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188"/>
    <w:rsid w:val="000345C9"/>
    <w:rsid w:val="00034806"/>
    <w:rsid w:val="00057748"/>
    <w:rsid w:val="00063011"/>
    <w:rsid w:val="000812CC"/>
    <w:rsid w:val="000F6160"/>
    <w:rsid w:val="0019427E"/>
    <w:rsid w:val="001D3A49"/>
    <w:rsid w:val="0022093C"/>
    <w:rsid w:val="002235A8"/>
    <w:rsid w:val="0025453B"/>
    <w:rsid w:val="00291662"/>
    <w:rsid w:val="003663D3"/>
    <w:rsid w:val="003C100F"/>
    <w:rsid w:val="003D43EA"/>
    <w:rsid w:val="00430649"/>
    <w:rsid w:val="00453188"/>
    <w:rsid w:val="0050527D"/>
    <w:rsid w:val="00505BA6"/>
    <w:rsid w:val="0060229B"/>
    <w:rsid w:val="00606E70"/>
    <w:rsid w:val="0060743B"/>
    <w:rsid w:val="0062027C"/>
    <w:rsid w:val="00696B85"/>
    <w:rsid w:val="006E67BD"/>
    <w:rsid w:val="007149AB"/>
    <w:rsid w:val="0071668E"/>
    <w:rsid w:val="00774291"/>
    <w:rsid w:val="007764CC"/>
    <w:rsid w:val="00786CCE"/>
    <w:rsid w:val="007E0712"/>
    <w:rsid w:val="00810162"/>
    <w:rsid w:val="008117F4"/>
    <w:rsid w:val="008F738D"/>
    <w:rsid w:val="009038E2"/>
    <w:rsid w:val="009046DD"/>
    <w:rsid w:val="00910C1E"/>
    <w:rsid w:val="00923986"/>
    <w:rsid w:val="00924BCA"/>
    <w:rsid w:val="00945E85"/>
    <w:rsid w:val="00966BCA"/>
    <w:rsid w:val="00977092"/>
    <w:rsid w:val="009A7679"/>
    <w:rsid w:val="00A41467"/>
    <w:rsid w:val="00A649FB"/>
    <w:rsid w:val="00A74377"/>
    <w:rsid w:val="00AC7194"/>
    <w:rsid w:val="00B23087"/>
    <w:rsid w:val="00B749A6"/>
    <w:rsid w:val="00BD1A7F"/>
    <w:rsid w:val="00BD33E0"/>
    <w:rsid w:val="00CB2072"/>
    <w:rsid w:val="00CE649D"/>
    <w:rsid w:val="00D014DA"/>
    <w:rsid w:val="00D021A5"/>
    <w:rsid w:val="00D50462"/>
    <w:rsid w:val="00DA7FB8"/>
    <w:rsid w:val="00E05BBC"/>
    <w:rsid w:val="00F80204"/>
    <w:rsid w:val="00FC0D5E"/>
    <w:rsid w:val="00FD1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C6C7"/>
  <w15:chartTrackingRefBased/>
  <w15:docId w15:val="{DA424DCE-AC3B-4687-98A4-27DF229D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3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531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1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318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318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318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318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318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3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5318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18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318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31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31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31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31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3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18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1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3188"/>
    <w:pPr>
      <w:spacing w:before="160"/>
      <w:jc w:val="center"/>
    </w:pPr>
    <w:rPr>
      <w:i/>
      <w:iCs/>
      <w:color w:val="404040" w:themeColor="text1" w:themeTint="BF"/>
    </w:rPr>
  </w:style>
  <w:style w:type="character" w:customStyle="1" w:styleId="QuoteChar">
    <w:name w:val="Quote Char"/>
    <w:basedOn w:val="DefaultParagraphFont"/>
    <w:link w:val="Quote"/>
    <w:uiPriority w:val="29"/>
    <w:rsid w:val="00453188"/>
    <w:rPr>
      <w:i/>
      <w:iCs/>
      <w:color w:val="404040" w:themeColor="text1" w:themeTint="BF"/>
    </w:rPr>
  </w:style>
  <w:style w:type="paragraph" w:styleId="ListParagraph">
    <w:name w:val="List Paragraph"/>
    <w:basedOn w:val="Normal"/>
    <w:uiPriority w:val="34"/>
    <w:qFormat/>
    <w:rsid w:val="00453188"/>
    <w:pPr>
      <w:ind w:left="720"/>
      <w:contextualSpacing/>
    </w:pPr>
  </w:style>
  <w:style w:type="character" w:styleId="IntenseEmphasis">
    <w:name w:val="Intense Emphasis"/>
    <w:basedOn w:val="DefaultParagraphFont"/>
    <w:uiPriority w:val="21"/>
    <w:qFormat/>
    <w:rsid w:val="00453188"/>
    <w:rPr>
      <w:i/>
      <w:iCs/>
      <w:color w:val="0F4761" w:themeColor="accent1" w:themeShade="BF"/>
    </w:rPr>
  </w:style>
  <w:style w:type="paragraph" w:styleId="IntenseQuote">
    <w:name w:val="Intense Quote"/>
    <w:basedOn w:val="Normal"/>
    <w:next w:val="Normal"/>
    <w:link w:val="IntenseQuoteChar"/>
    <w:uiPriority w:val="30"/>
    <w:qFormat/>
    <w:rsid w:val="00453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188"/>
    <w:rPr>
      <w:i/>
      <w:iCs/>
      <w:color w:val="0F4761" w:themeColor="accent1" w:themeShade="BF"/>
    </w:rPr>
  </w:style>
  <w:style w:type="character" w:styleId="IntenseReference">
    <w:name w:val="Intense Reference"/>
    <w:basedOn w:val="DefaultParagraphFont"/>
    <w:uiPriority w:val="32"/>
    <w:qFormat/>
    <w:rsid w:val="00453188"/>
    <w:rPr>
      <w:b/>
      <w:bCs/>
      <w:smallCaps/>
      <w:color w:val="0F4761" w:themeColor="accent1" w:themeShade="BF"/>
      <w:spacing w:val="5"/>
    </w:rPr>
  </w:style>
  <w:style w:type="character" w:styleId="Hyperlink">
    <w:name w:val="Hyperlink"/>
    <w:basedOn w:val="DefaultParagraphFont"/>
    <w:uiPriority w:val="99"/>
    <w:unhideWhenUsed/>
    <w:rsid w:val="00453188"/>
    <w:rPr>
      <w:color w:val="467886" w:themeColor="hyperlink"/>
      <w:u w:val="single"/>
    </w:rPr>
  </w:style>
  <w:style w:type="character" w:styleId="UnresolvedMention">
    <w:name w:val="Unresolved Mention"/>
    <w:basedOn w:val="DefaultParagraphFont"/>
    <w:uiPriority w:val="99"/>
    <w:semiHidden/>
    <w:unhideWhenUsed/>
    <w:rsid w:val="00453188"/>
    <w:rPr>
      <w:color w:val="605E5C"/>
      <w:shd w:val="clear" w:color="auto" w:fill="E1DFDD"/>
    </w:rPr>
  </w:style>
  <w:style w:type="paragraph" w:styleId="NormalWeb">
    <w:name w:val="Normal (Web)"/>
    <w:basedOn w:val="Normal"/>
    <w:uiPriority w:val="99"/>
    <w:semiHidden/>
    <w:unhideWhenUsed/>
    <w:rsid w:val="003D43EA"/>
    <w:rPr>
      <w:rFonts w:ascii="Times New Roman" w:hAnsi="Times New Roman" w:cs="Times New Roman"/>
      <w:sz w:val="24"/>
      <w:szCs w:val="24"/>
    </w:rPr>
  </w:style>
  <w:style w:type="paragraph" w:customStyle="1" w:styleId="pf0">
    <w:name w:val="pf0"/>
    <w:basedOn w:val="Normal"/>
    <w:rsid w:val="00D014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D014DA"/>
    <w:rPr>
      <w:rFonts w:ascii="Segoe UI" w:hAnsi="Segoe UI" w:cs="Segoe UI" w:hint="default"/>
      <w:sz w:val="18"/>
      <w:szCs w:val="18"/>
    </w:rPr>
  </w:style>
  <w:style w:type="character" w:styleId="CommentReference">
    <w:name w:val="annotation reference"/>
    <w:basedOn w:val="DefaultParagraphFont"/>
    <w:uiPriority w:val="99"/>
    <w:semiHidden/>
    <w:unhideWhenUsed/>
    <w:rsid w:val="00D014DA"/>
    <w:rPr>
      <w:sz w:val="16"/>
      <w:szCs w:val="16"/>
    </w:rPr>
  </w:style>
  <w:style w:type="paragraph" w:styleId="CommentText">
    <w:name w:val="annotation text"/>
    <w:basedOn w:val="Normal"/>
    <w:link w:val="CommentTextChar"/>
    <w:uiPriority w:val="99"/>
    <w:unhideWhenUsed/>
    <w:rsid w:val="00D014DA"/>
    <w:pPr>
      <w:spacing w:line="240" w:lineRule="auto"/>
    </w:pPr>
    <w:rPr>
      <w:sz w:val="20"/>
      <w:szCs w:val="20"/>
    </w:rPr>
  </w:style>
  <w:style w:type="character" w:customStyle="1" w:styleId="CommentTextChar">
    <w:name w:val="Comment Text Char"/>
    <w:basedOn w:val="DefaultParagraphFont"/>
    <w:link w:val="CommentText"/>
    <w:uiPriority w:val="99"/>
    <w:rsid w:val="00D014DA"/>
    <w:rPr>
      <w:sz w:val="20"/>
      <w:szCs w:val="20"/>
    </w:rPr>
  </w:style>
  <w:style w:type="paragraph" w:styleId="Revision">
    <w:name w:val="Revision"/>
    <w:hidden/>
    <w:uiPriority w:val="99"/>
    <w:semiHidden/>
    <w:rsid w:val="003C10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sw.org/international-day-of-older-persons-2025-older-persons-driving-local-and-global-action-our-aspirations-our-wellbeing-our-rights/" TargetMode="External"/><Relationship Id="rId13" Type="http://schemas.openxmlformats.org/officeDocument/2006/relationships/hyperlink" Target="https://www.who.int/news-room/fact-sheets/detail/abuse-of-older-peopl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fsw.org/what-is-social-work/global-definition-of-social-work/" TargetMode="External"/><Relationship Id="rId12" Type="http://schemas.openxmlformats.org/officeDocument/2006/relationships/hyperlink" Target="https://www.who.int/teams/social-determinants-of-health/demographic-change-and-healthy-ageing/combatting-ageism/global-report-on-ageis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ho.int/data/gho/data/indicators/indicator-details/GHO/life-expectancy-at-age-60-(years)" TargetMode="External"/><Relationship Id="rId1" Type="http://schemas.openxmlformats.org/officeDocument/2006/relationships/numbering" Target="numbering.xml"/><Relationship Id="rId6" Type="http://schemas.openxmlformats.org/officeDocument/2006/relationships/hyperlink" Target="https://www.ageinternational.org.uk/policy-research/statistics/global-ageing/" TargetMode="External"/><Relationship Id="rId11" Type="http://schemas.openxmlformats.org/officeDocument/2006/relationships/hyperlink" Target="https://unece.org/digitalization/press/ageing-digital-era-unece-highlights-key-actions-ensure-digital-inclusion-older" TargetMode="External"/><Relationship Id="rId5" Type="http://schemas.openxmlformats.org/officeDocument/2006/relationships/hyperlink" Target="mailto:gerry@effective-practice.com" TargetMode="External"/><Relationship Id="rId15" Type="http://schemas.openxmlformats.org/officeDocument/2006/relationships/hyperlink" Target="https://www.who.int/health-topics/social-determinants-of-health" TargetMode="External"/><Relationship Id="rId10" Type="http://schemas.openxmlformats.org/officeDocument/2006/relationships/hyperlink" Target="https://www.decadeofhealthyageing.org/" TargetMode="External"/><Relationship Id="rId4" Type="http://schemas.openxmlformats.org/officeDocument/2006/relationships/webSettings" Target="webSettings.xml"/><Relationship Id="rId9" Type="http://schemas.openxmlformats.org/officeDocument/2006/relationships/hyperlink" Target="https://newecosocialworld.com/the-peoples-charter-for-an-eco-social-world/" TargetMode="External"/><Relationship Id="rId14" Type="http://schemas.openxmlformats.org/officeDocument/2006/relationships/hyperlink" Target="https://www.who.int/news-room/fact-sheets/detail/ageing-and-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1549</Words>
  <Characters>8833</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Introduction to this statement</vt:lpstr>
      <vt:lpstr>IFSW’s position on ageing </vt:lpstr>
      <vt:lpstr>IFSW’s commitment to social work in later life</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Nosowska</dc:creator>
  <cp:keywords/>
  <dc:description/>
  <cp:lastModifiedBy>ruth allen</cp:lastModifiedBy>
  <cp:revision>2</cp:revision>
  <dcterms:created xsi:type="dcterms:W3CDTF">2026-09-22T14:56:00Z</dcterms:created>
  <dcterms:modified xsi:type="dcterms:W3CDTF">2026-09-22T14:56:00Z</dcterms:modified>
</cp:coreProperties>
</file>