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Continuing Professional Development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(CPD)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4a86e8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color w:val="4a86e8"/>
          <w:sz w:val="38"/>
          <w:szCs w:val="38"/>
          <w:rtl w:val="0"/>
        </w:rPr>
        <w:t xml:space="preserve">Human rights of Social Workers and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color w:val="4a86e8"/>
          <w:sz w:val="38"/>
          <w:szCs w:val="38"/>
        </w:rPr>
      </w:pPr>
      <w:r w:rsidDel="00000000" w:rsidR="00000000" w:rsidRPr="00000000">
        <w:rPr>
          <w:rFonts w:ascii="Calibri" w:cs="Calibri" w:eastAsia="Calibri" w:hAnsi="Calibri"/>
          <w:color w:val="4a86e8"/>
          <w:sz w:val="38"/>
          <w:szCs w:val="38"/>
          <w:rtl w:val="0"/>
        </w:rPr>
        <w:t xml:space="preserve">their Human Rights Responsibilities for Service Recipients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="259" w:lineRule="auto"/>
        <w:jc w:val="center"/>
        <w:rPr>
          <w:rFonts w:ascii="Calibri" w:cs="Calibri" w:eastAsia="Calibri" w:hAnsi="Calibri"/>
          <w:color w:val="4a86e8"/>
          <w:sz w:val="38"/>
          <w:szCs w:val="38"/>
        </w:rPr>
      </w:pPr>
      <w:bookmarkStart w:colFirst="0" w:colLast="0" w:name="_1dxf9f16y4lm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for practising social workers, members and representatives of national social work associations, educators, and other professionals engaged in social work policy and advocacy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24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27 March · 10 April · 24 April · 8 May 2026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Time: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12:00–13:30 CET</w:t>
      </w:r>
    </w:p>
    <w:p w:rsidR="00000000" w:rsidDel="00000000" w:rsidP="00000000" w:rsidRDefault="00000000" w:rsidRPr="00000000" w14:paraId="00000008">
      <w:pPr>
        <w:spacing w:after="240" w:before="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Registration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highlight w:val="white"/>
            <w:u w:val="single"/>
            <w:rtl w:val="0"/>
          </w:rPr>
          <w:t xml:space="preserve">https://ifsw-org.zoom.us/meeting/register/ZBCxs1-DTsGxl30HbrY50A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Format: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Online (Zoom, livestreamed on YouTube)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Language: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English, Spanish</w:t>
      </w:r>
    </w:p>
    <w:p w:rsidR="00000000" w:rsidDel="00000000" w:rsidP="00000000" w:rsidRDefault="00000000" w:rsidRPr="00000000" w14:paraId="00000009">
      <w:pPr>
        <w:spacing w:after="320" w:line="259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Co-organized by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 Commission of the International Federation of Social Workers (IFSW)</w:t>
        <w:br w:type="textWrapping"/>
        <w:t xml:space="preserve">Office of the United Nations High Commissioner for Human Rights (OHCHR)</w:t>
        <w:br w:type="textWrapping"/>
        <w:t xml:space="preserve"> In collaboration with the International Labour Organization (ILO)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Social workers operate daily at the frontline of human rights, supporting individuals and communities while navigating complex systems, laws, and institutional expectations. They are both holders of rights — including decent work, safety, and professional autonomy — and professionals responsible for respecting and protecting the human rights of service recipients. 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59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u5039v5qt9vh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Objectives</w:t>
      </w:r>
    </w:p>
    <w:p w:rsidR="00000000" w:rsidDel="00000000" w:rsidP="00000000" w:rsidRDefault="00000000" w:rsidRPr="00000000" w14:paraId="0000000C">
      <w:pPr>
        <w:spacing w:before="24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CPD aims to: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4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Strengthen social workers’ understanding of their own human rights and labour rights;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Clarify human rights responsibilities towards service recipients in complex practice settings;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 practical skills for addressing real-life professional dilemmas;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Identify shared advocacy and policy priorities at national and global levels.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="259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u1r787phnm8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="259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5gi9czqq73fu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Programme </w:t>
      </w:r>
    </w:p>
    <w:p w:rsidR="00000000" w:rsidDel="00000000" w:rsidP="00000000" w:rsidRDefault="00000000" w:rsidRPr="00000000" w14:paraId="00000016">
      <w:pPr>
        <w:spacing w:after="240" w:before="24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Session 1: Human Rights, Labour Rights, and Social Work Frameworks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This session will introduce key concepts and standards from human rights, labour rights, and social work perspectives. It will provide a common framework to help participants analyse professional dilemmas and case studies.</w:t>
      </w:r>
    </w:p>
    <w:p w:rsidR="00000000" w:rsidDel="00000000" w:rsidP="00000000" w:rsidRDefault="00000000" w:rsidRPr="00000000" w14:paraId="00000017">
      <w:pPr>
        <w:spacing w:after="240" w:before="24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Sessions 2–4: Learning from Practice – Case Studies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Each session will begin with a social work case.. The cases will focus on: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before="24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multiple roles and expectations placed on social workers;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Tensions linked to public employment, authority, and legitimacy;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Efforts to improve state systems while protecting human rights.</w:t>
        <w:br w:type="textWrapping"/>
      </w:r>
    </w:p>
    <w:p w:rsidR="00000000" w:rsidDel="00000000" w:rsidP="00000000" w:rsidRDefault="00000000" w:rsidRPr="00000000" w14:paraId="0000001B">
      <w:pPr>
        <w:spacing w:after="240" w:before="240" w:line="259" w:lineRule="auto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three organisations OHCHR, IFSW, and ILO will analyse each case along their framework.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Participants will jointly examine the cases, identify relevant rights and responsibilities, and discuss practical ways to address challenges and improve outcomes for both social workers and service recipients.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="259" w:lineRule="auto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bookmarkStart w:colFirst="0" w:colLast="0" w:name="_9lmb2iq3tobu" w:id="4"/>
      <w:bookmarkEnd w:id="4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Expected Outcomes</w:t>
      </w:r>
    </w:p>
    <w:p w:rsidR="00000000" w:rsidDel="00000000" w:rsidP="00000000" w:rsidRDefault="00000000" w:rsidRPr="00000000" w14:paraId="0000001D">
      <w:pPr>
        <w:spacing w:after="0" w:before="24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Participants will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 a clearer understanding of their human rights and professional responsibilities;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feel more confident in applying human rights principles in daily practice and policy discussions;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240" w:before="0" w:line="259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contribute to identifying key areas for collective advocacy and policy action at the global level.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Certificate: a certificate of attendance will be provided.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628775" cy="10429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0" distT="0" distL="0" distR="0">
          <wp:extent cx="2857500" cy="1023938"/>
          <wp:effectExtent b="0" l="0" r="0" t="0"/>
          <wp:docPr descr="Ein Bild, das Grafiken, Schrift, Grafikdesign, Screenshot enthält.&#10;&#10;Automatisch generierte Beschreibung" id="2" name="image2.png"/>
          <a:graphic>
            <a:graphicData uri="http://schemas.openxmlformats.org/drawingml/2006/picture">
              <pic:pic>
                <pic:nvPicPr>
                  <pic:cNvPr descr="Ein Bild, das Grafiken, Schrift, Grafikdesign, Screenshot enthält.&#10;&#10;Automatisch generierte Beschreibu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1023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ifsw-org.zoom.us/meeting/register/ZBCxs1-DTsGxl30HbrY50A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